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DD6E1" w14:textId="77777777" w:rsidR="00DD16CB" w:rsidRPr="00DD16CB" w:rsidRDefault="00DD16CB">
      <w:pPr>
        <w:rPr>
          <w:b/>
          <w:bCs/>
          <w:i/>
          <w:iCs/>
        </w:rPr>
      </w:pPr>
      <w:r w:rsidRPr="00DD16CB">
        <w:rPr>
          <w:b/>
          <w:bCs/>
          <w:i/>
          <w:iCs/>
        </w:rPr>
        <w:t>Email/Conversation Example</w:t>
      </w:r>
    </w:p>
    <w:p w14:paraId="2079D8A0" w14:textId="61961699" w:rsidR="00DD16CB" w:rsidRDefault="00DD16CB">
      <w:r w:rsidRPr="00DD16CB">
        <w:rPr>
          <w:i/>
          <w:iCs/>
        </w:rPr>
        <w:t>The internal leadership review is an integral component of the Careers Impact System, a step-by-step and integrated approach to improving and assuring the quality of sustained and strategic careers leadership in your school, special school or college.</w:t>
      </w:r>
      <w:r w:rsidRPr="00DD16CB">
        <w:rPr>
          <w:rFonts w:ascii="Arial" w:hAnsi="Arial" w:cs="Arial"/>
          <w:i/>
          <w:iCs/>
        </w:rPr>
        <w:t>  </w:t>
      </w:r>
      <w:r w:rsidRPr="00DD16CB">
        <w:t> </w:t>
      </w:r>
    </w:p>
    <w:p w14:paraId="05D43049" w14:textId="77777777" w:rsidR="00DD16CB" w:rsidRDefault="00DD16CB">
      <w:r w:rsidRPr="00DD16CB">
        <w:rPr>
          <w:i/>
          <w:iCs/>
        </w:rPr>
        <w:t>Undertaking an internal leadership review supports the quality assurance of careers leadership and encourages continuous improvement aligned to your school, special school or college’s priorities.</w:t>
      </w:r>
      <w:r w:rsidRPr="00DD16CB">
        <w:rPr>
          <w:rFonts w:ascii="Arial" w:hAnsi="Arial" w:cs="Arial"/>
          <w:i/>
          <w:iCs/>
        </w:rPr>
        <w:t> </w:t>
      </w:r>
      <w:r w:rsidRPr="00DD16CB">
        <w:t> </w:t>
      </w:r>
    </w:p>
    <w:p w14:paraId="7E728169" w14:textId="77777777" w:rsidR="00DD16CB" w:rsidRDefault="00DD16CB">
      <w:pPr>
        <w:rPr>
          <w:rFonts w:ascii="Arial" w:hAnsi="Arial" w:cs="Arial"/>
          <w:i/>
          <w:iCs/>
        </w:rPr>
      </w:pPr>
      <w:r w:rsidRPr="00DD16CB">
        <w:rPr>
          <w:i/>
          <w:iCs/>
        </w:rPr>
        <w:t xml:space="preserve">The review involves colleagues </w:t>
      </w:r>
      <w:r w:rsidRPr="00DD16CB">
        <w:rPr>
          <w:b/>
          <w:bCs/>
          <w:i/>
          <w:iCs/>
        </w:rPr>
        <w:t>convening</w:t>
      </w:r>
      <w:r w:rsidRPr="00DD16CB">
        <w:rPr>
          <w:i/>
          <w:iCs/>
        </w:rPr>
        <w:t xml:space="preserve"> to reflect on which statements in a Maturity Model* best describe practice in your school, special school or college.</w:t>
      </w:r>
      <w:r w:rsidRPr="00DD16CB">
        <w:rPr>
          <w:rFonts w:ascii="Arial" w:hAnsi="Arial" w:cs="Arial"/>
          <w:i/>
          <w:iCs/>
        </w:rPr>
        <w:t>  </w:t>
      </w:r>
    </w:p>
    <w:p w14:paraId="48BEFB45" w14:textId="77777777" w:rsidR="00DD16CB" w:rsidRDefault="00DD16CB">
      <w:pPr>
        <w:rPr>
          <w:rFonts w:ascii="Arial" w:hAnsi="Arial" w:cs="Arial"/>
          <w:i/>
          <w:iCs/>
        </w:rPr>
      </w:pPr>
      <w:r w:rsidRPr="00DD16CB">
        <w:rPr>
          <w:i/>
          <w:iCs/>
        </w:rPr>
        <w:t xml:space="preserve">Colleagues discuss and </w:t>
      </w:r>
      <w:r w:rsidRPr="00DD16CB">
        <w:rPr>
          <w:b/>
          <w:bCs/>
          <w:i/>
          <w:iCs/>
        </w:rPr>
        <w:t>agree</w:t>
      </w:r>
      <w:r w:rsidRPr="00DD16CB">
        <w:rPr>
          <w:i/>
          <w:iCs/>
        </w:rPr>
        <w:t xml:space="preserve"> a final response for each statement that represents your school, special school or college. Ensure that agreed responses are </w:t>
      </w:r>
      <w:r w:rsidRPr="00DD16CB">
        <w:rPr>
          <w:b/>
          <w:bCs/>
          <w:i/>
          <w:iCs/>
        </w:rPr>
        <w:t>recorded</w:t>
      </w:r>
      <w:r w:rsidRPr="00DD16CB">
        <w:rPr>
          <w:i/>
          <w:iCs/>
        </w:rPr>
        <w:t xml:space="preserve"> on Compass+/Compass and that </w:t>
      </w:r>
      <w:r w:rsidRPr="00DD16CB">
        <w:rPr>
          <w:b/>
          <w:bCs/>
          <w:i/>
          <w:iCs/>
        </w:rPr>
        <w:t>actions</w:t>
      </w:r>
      <w:r w:rsidRPr="00DD16CB">
        <w:rPr>
          <w:i/>
          <w:iCs/>
        </w:rPr>
        <w:t xml:space="preserve"> are embedded within continuous improvement processes.</w:t>
      </w:r>
      <w:r w:rsidRPr="00DD16CB">
        <w:rPr>
          <w:rFonts w:ascii="Arial" w:hAnsi="Arial" w:cs="Arial"/>
          <w:i/>
          <w:iCs/>
        </w:rPr>
        <w:t>  </w:t>
      </w:r>
    </w:p>
    <w:p w14:paraId="2BEB2489" w14:textId="09DB9A66" w:rsidR="005E0526" w:rsidRDefault="00DD16CB">
      <w:r w:rsidRPr="00DD16CB">
        <w:rPr>
          <w:i/>
          <w:iCs/>
        </w:rPr>
        <w:t xml:space="preserve">Find out more: Careers Impact internal leadership review </w:t>
      </w:r>
      <w:hyperlink r:id="rId6" w:history="1">
        <w:r w:rsidRPr="00DD16CB">
          <w:rPr>
            <w:rStyle w:val="Hyperlink"/>
            <w:i/>
            <w:iCs/>
          </w:rPr>
          <w:t>animation</w:t>
        </w:r>
      </w:hyperlink>
      <w:r w:rsidRPr="00DD16CB">
        <w:rPr>
          <w:rFonts w:ascii="Arial" w:hAnsi="Arial" w:cs="Arial"/>
          <w:i/>
          <w:iCs/>
        </w:rPr>
        <w:t>  </w:t>
      </w:r>
      <w:r w:rsidRPr="00DD16CB">
        <w:t> </w:t>
      </w:r>
    </w:p>
    <w:sectPr w:rsidR="005E0526" w:rsidSect="00DD16CB">
      <w:headerReference w:type="default" r:id="rId7"/>
      <w:pgSz w:w="11906" w:h="16838"/>
      <w:pgMar w:top="1440" w:right="1440" w:bottom="1440" w:left="1440" w:header="708" w:footer="708" w:gutter="0"/>
      <w:pgBorders w:offsetFrom="page">
        <w:top w:val="single" w:sz="48" w:space="24" w:color="009999"/>
        <w:left w:val="single" w:sz="48" w:space="24" w:color="009999"/>
        <w:bottom w:val="single" w:sz="48" w:space="24" w:color="009999"/>
        <w:right w:val="single" w:sz="48" w:space="24" w:color="0099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BA0B8" w14:textId="77777777" w:rsidR="00A161C1" w:rsidRDefault="00A161C1" w:rsidP="00DD16CB">
      <w:pPr>
        <w:spacing w:after="0" w:line="240" w:lineRule="auto"/>
      </w:pPr>
      <w:r>
        <w:separator/>
      </w:r>
    </w:p>
  </w:endnote>
  <w:endnote w:type="continuationSeparator" w:id="0">
    <w:p w14:paraId="16F1B250" w14:textId="77777777" w:rsidR="00A161C1" w:rsidRDefault="00A161C1" w:rsidP="00DD1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E527E" w14:textId="77777777" w:rsidR="00A161C1" w:rsidRDefault="00A161C1" w:rsidP="00DD16CB">
      <w:pPr>
        <w:spacing w:after="0" w:line="240" w:lineRule="auto"/>
      </w:pPr>
      <w:r>
        <w:separator/>
      </w:r>
    </w:p>
  </w:footnote>
  <w:footnote w:type="continuationSeparator" w:id="0">
    <w:p w14:paraId="0F9B24E3" w14:textId="77777777" w:rsidR="00A161C1" w:rsidRDefault="00A161C1" w:rsidP="00DD1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81BCE" w14:textId="392EF7EC" w:rsidR="00DD16CB" w:rsidRDefault="00DD16CB">
    <w:pPr>
      <w:pStyle w:val="Header"/>
    </w:pPr>
    <w:r w:rsidRPr="0079786A">
      <w:rPr>
        <w:noProof/>
      </w:rPr>
      <w:drawing>
        <wp:anchor distT="0" distB="0" distL="114300" distR="114300" simplePos="0" relativeHeight="251659264" behindDoc="1" locked="0" layoutInCell="1" allowOverlap="1" wp14:anchorId="59E9DA72" wp14:editId="008CFE91">
          <wp:simplePos x="0" y="0"/>
          <wp:positionH relativeFrom="column">
            <wp:posOffset>5219700</wp:posOffset>
          </wp:positionH>
          <wp:positionV relativeFrom="paragraph">
            <wp:posOffset>8890</wp:posOffset>
          </wp:positionV>
          <wp:extent cx="1000760" cy="314325"/>
          <wp:effectExtent l="0" t="0" r="8890" b="9525"/>
          <wp:wrapTight wrapText="bothSides">
            <wp:wrapPolygon edited="0">
              <wp:start x="0" y="0"/>
              <wp:lineTo x="0" y="15709"/>
              <wp:lineTo x="8635" y="20945"/>
              <wp:lineTo x="21381" y="20945"/>
              <wp:lineTo x="21381" y="0"/>
              <wp:lineTo x="0" y="0"/>
            </wp:wrapPolygon>
          </wp:wrapTight>
          <wp:docPr id="1" name="Picture 53">
            <a:extLst xmlns:a="http://schemas.openxmlformats.org/drawingml/2006/main">
              <a:ext uri="{FF2B5EF4-FFF2-40B4-BE49-F238E27FC236}">
                <a16:creationId xmlns:a16="http://schemas.microsoft.com/office/drawing/2014/main" id="{6A29F7B7-E3FD-394E-9CF3-55208A5DA74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Picture 53">
                    <a:extLst>
                      <a:ext uri="{FF2B5EF4-FFF2-40B4-BE49-F238E27FC236}">
                        <a16:creationId xmlns:a16="http://schemas.microsoft.com/office/drawing/2014/main" id="{6A29F7B7-E3FD-394E-9CF3-55208A5DA74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760" cy="314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6CB"/>
    <w:rsid w:val="005E0526"/>
    <w:rsid w:val="00670C9B"/>
    <w:rsid w:val="007A5783"/>
    <w:rsid w:val="00A161C1"/>
    <w:rsid w:val="00DD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AA649"/>
  <w15:chartTrackingRefBased/>
  <w15:docId w15:val="{AAE29F2F-CF34-4C8D-8EED-AABEEA50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16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1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16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16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16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16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16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16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16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6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6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6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16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6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6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16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16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6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16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1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16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16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16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16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16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16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16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16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16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D16C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6C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D16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6CB"/>
  </w:style>
  <w:style w:type="paragraph" w:styleId="Footer">
    <w:name w:val="footer"/>
    <w:basedOn w:val="Normal"/>
    <w:link w:val="FooterChar"/>
    <w:uiPriority w:val="99"/>
    <w:unhideWhenUsed/>
    <w:rsid w:val="00DD16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5Lfd1fCQZ_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Parker</dc:creator>
  <cp:keywords/>
  <dc:description/>
  <cp:lastModifiedBy>Clare Parker</cp:lastModifiedBy>
  <cp:revision>1</cp:revision>
  <dcterms:created xsi:type="dcterms:W3CDTF">2025-09-23T14:38:00Z</dcterms:created>
  <dcterms:modified xsi:type="dcterms:W3CDTF">2025-09-23T14:41:00Z</dcterms:modified>
</cp:coreProperties>
</file>