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A2AF1" w14:textId="7EBC1B19" w:rsidR="00E365BE" w:rsidRDefault="007C14E4" w:rsidP="004469CF">
      <w:pPr>
        <w:pStyle w:val="Heading1"/>
      </w:pPr>
      <w:r>
        <w:t xml:space="preserve">Small Group </w:t>
      </w:r>
      <w:r w:rsidR="004469CF" w:rsidRPr="00DF0E86">
        <w:t>Action Planning Tool</w:t>
      </w:r>
      <w:r w:rsidR="004469CF">
        <w:t xml:space="preserve">  </w:t>
      </w:r>
      <w:r w:rsidR="004469CF">
        <w:tab/>
      </w:r>
      <w:r w:rsidR="004469CF">
        <w:tab/>
      </w:r>
      <w:r w:rsidR="004469CF">
        <w:tab/>
      </w:r>
    </w:p>
    <w:p w14:paraId="41573762" w14:textId="4EBA769E" w:rsidR="004469CF" w:rsidRDefault="004469CF" w:rsidP="00E365BE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365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426A9">
        <w:rPr>
          <w:rFonts w:ascii="Calibri" w:hAnsi="Calibri" w:cs="Calibri"/>
          <w:b/>
          <w:bCs/>
          <w:sz w:val="28"/>
          <w:szCs w:val="28"/>
        </w:rPr>
        <w:t>Group</w:t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  <w:t xml:space="preserve">     </w:t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ab/>
      </w:r>
      <w:r w:rsidR="004426A9">
        <w:rPr>
          <w:rFonts w:ascii="Calibri" w:hAnsi="Calibri" w:cs="Calibri"/>
          <w:b/>
          <w:bCs/>
          <w:sz w:val="28"/>
          <w:szCs w:val="28"/>
        </w:rPr>
        <w:t>Contact Ti</w:t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ab/>
        <w:t>Notes</w:t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</w:p>
    <w:tbl>
      <w:tblPr>
        <w:tblStyle w:val="TableGrid"/>
        <w:tblW w:w="22250" w:type="dxa"/>
        <w:tblLayout w:type="fixed"/>
        <w:tblLook w:val="04A0" w:firstRow="1" w:lastRow="0" w:firstColumn="1" w:lastColumn="0" w:noHBand="0" w:noVBand="1"/>
      </w:tblPr>
      <w:tblGrid>
        <w:gridCol w:w="3256"/>
        <w:gridCol w:w="3798"/>
        <w:gridCol w:w="3799"/>
        <w:gridCol w:w="3799"/>
        <w:gridCol w:w="3799"/>
        <w:gridCol w:w="3799"/>
      </w:tblGrid>
      <w:tr w:rsidR="00DB23BF" w:rsidRPr="0041240F" w14:paraId="744F557A" w14:textId="77777777" w:rsidTr="008E3683">
        <w:trPr>
          <w:trHeight w:val="320"/>
        </w:trPr>
        <w:tc>
          <w:tcPr>
            <w:tcW w:w="3256" w:type="dxa"/>
          </w:tcPr>
          <w:p w14:paraId="3820FEAE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  <w:lang w:eastAsia="es-ES"/>
              </w:rPr>
            </w:pP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Target </w:t>
            </w:r>
            <w:r w:rsidRPr="0041240F">
              <w:rPr>
                <w:rFonts w:ascii="Calibri" w:hAnsi="Calibri" w:cs="Calibri"/>
                <w:b/>
                <w:bCs/>
                <w:sz w:val="32"/>
                <w:szCs w:val="32"/>
                <w:lang w:eastAsia="es-ES"/>
              </w:rPr>
              <w:t>Risk Categories</w:t>
            </w: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 for group Intervention</w:t>
            </w:r>
          </w:p>
        </w:tc>
        <w:tc>
          <w:tcPr>
            <w:tcW w:w="3798" w:type="dxa"/>
          </w:tcPr>
          <w:p w14:paraId="64D7337F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  <w:lang w:eastAsia="es-ES"/>
              </w:rPr>
            </w:pP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Personal Challenges  </w:t>
            </w: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sym w:font="Webdings" w:char="F063"/>
            </w:r>
          </w:p>
        </w:tc>
        <w:tc>
          <w:tcPr>
            <w:tcW w:w="3799" w:type="dxa"/>
          </w:tcPr>
          <w:p w14:paraId="2EDF8A9F" w14:textId="7FEECE7A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  <w:lang w:eastAsia="es-ES"/>
              </w:rPr>
            </w:pP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Family Circumstances </w:t>
            </w:r>
            <w:r w:rsidR="008E3683"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sym w:font="Webdings" w:char="F063"/>
            </w:r>
          </w:p>
        </w:tc>
        <w:tc>
          <w:tcPr>
            <w:tcW w:w="3799" w:type="dxa"/>
          </w:tcPr>
          <w:p w14:paraId="50D5B66D" w14:textId="0A7F268E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  <w:lang w:eastAsia="es-ES"/>
              </w:rPr>
            </w:pP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Social Relationships </w:t>
            </w:r>
            <w:r w:rsidR="008E3683"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sym w:font="Webdings" w:char="F063"/>
            </w:r>
          </w:p>
        </w:tc>
        <w:tc>
          <w:tcPr>
            <w:tcW w:w="3799" w:type="dxa"/>
          </w:tcPr>
          <w:p w14:paraId="31C44412" w14:textId="4AF6C40B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  <w:lang w:eastAsia="es-ES"/>
              </w:rPr>
            </w:pP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Institutional Factors   </w:t>
            </w: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sym w:font="Webdings" w:char="F063"/>
            </w:r>
          </w:p>
        </w:tc>
        <w:tc>
          <w:tcPr>
            <w:tcW w:w="3799" w:type="dxa"/>
          </w:tcPr>
          <w:p w14:paraId="51744386" w14:textId="5A8B83C3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  <w:lang w:eastAsia="es-ES"/>
              </w:rPr>
            </w:pP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t xml:space="preserve">Structural Factors   </w:t>
            </w:r>
            <w:r w:rsidRPr="0041240F">
              <w:rPr>
                <w:rFonts w:ascii="Calibri" w:hAnsi="Calibri" w:cs="Calibri"/>
                <w:sz w:val="32"/>
                <w:szCs w:val="32"/>
                <w:lang w:eastAsia="es-ES"/>
              </w:rPr>
              <w:sym w:font="Webdings" w:char="F063"/>
            </w:r>
          </w:p>
        </w:tc>
      </w:tr>
    </w:tbl>
    <w:p w14:paraId="228F1572" w14:textId="77777777" w:rsidR="00DB23BF" w:rsidRPr="0041240F" w:rsidRDefault="00DB23BF" w:rsidP="00DB23BF">
      <w:pPr>
        <w:rPr>
          <w:rFonts w:ascii="Calibri" w:hAnsi="Calibri" w:cs="Calibri"/>
          <w:sz w:val="32"/>
          <w:szCs w:val="32"/>
          <w:lang w:eastAsia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953"/>
        <w:gridCol w:w="5953"/>
        <w:gridCol w:w="5954"/>
      </w:tblGrid>
      <w:tr w:rsidR="0086280D" w:rsidRPr="0041240F" w14:paraId="42349B6C" w14:textId="77777777" w:rsidTr="00B433A6">
        <w:tc>
          <w:tcPr>
            <w:tcW w:w="4390" w:type="dxa"/>
          </w:tcPr>
          <w:p w14:paraId="298F6851" w14:textId="15A07AA5" w:rsidR="0086280D" w:rsidRPr="0041240F" w:rsidRDefault="00A2566A" w:rsidP="00CC18E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i/>
                <w:iCs/>
                <w:sz w:val="20"/>
                <w:szCs w:val="20"/>
              </w:rPr>
              <w:t>Tick to identify where you feel the learner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7178E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sits on the Pathway to Change. Students w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 regularly attend school </w:t>
            </w:r>
            <w:r w:rsidR="00A6014F">
              <w:rPr>
                <w:rFonts w:ascii="Calibri" w:hAnsi="Calibri" w:cs="Calibri"/>
                <w:i/>
                <w:iCs/>
                <w:sz w:val="20"/>
                <w:szCs w:val="20"/>
              </w:rPr>
              <w:t>but have elevated risk to ESL are likely to be around the middle of the pathway</w:t>
            </w:r>
          </w:p>
        </w:tc>
        <w:tc>
          <w:tcPr>
            <w:tcW w:w="17860" w:type="dxa"/>
            <w:gridSpan w:val="3"/>
          </w:tcPr>
          <w:p w14:paraId="70100122" w14:textId="77777777" w:rsidR="006955CB" w:rsidRPr="007178EE" w:rsidRDefault="006955CB" w:rsidP="006955CB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178EE">
              <w:rPr>
                <w:rFonts w:ascii="Calibri" w:hAnsi="Calibri" w:cs="Calibri"/>
                <w:i/>
                <w:iCs/>
                <w:sz w:val="20"/>
                <w:szCs w:val="20"/>
              </w:rPr>
              <w:t>Draw from between 1 and 3 strategies from Handbook 1 to identify your key ‘Actions’ in the intervention.</w:t>
            </w:r>
          </w:p>
          <w:p w14:paraId="62BB3030" w14:textId="31086FDC" w:rsidR="0086280D" w:rsidRPr="007F1828" w:rsidRDefault="006955CB" w:rsidP="006955C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i/>
                <w:iCs/>
                <w:sz w:val="20"/>
                <w:szCs w:val="20"/>
              </w:rPr>
              <w:t>Add notes below on specific activities and support you wish to address these actions.</w:t>
            </w:r>
          </w:p>
        </w:tc>
      </w:tr>
      <w:tr w:rsidR="00CC18ED" w:rsidRPr="0041240F" w14:paraId="47E22037" w14:textId="77777777" w:rsidTr="0041240F">
        <w:tc>
          <w:tcPr>
            <w:tcW w:w="4390" w:type="dxa"/>
          </w:tcPr>
          <w:p w14:paraId="66366E15" w14:textId="5B9DC481" w:rsidR="00CC18ED" w:rsidRPr="0041240F" w:rsidRDefault="00CC18ED" w:rsidP="00CC18E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b/>
                <w:bCs/>
                <w:sz w:val="32"/>
                <w:szCs w:val="32"/>
              </w:rPr>
              <w:t>Pathway To Change Levels To Target</w:t>
            </w:r>
            <w:r w:rsidR="00A2566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During Intervention</w:t>
            </w:r>
          </w:p>
        </w:tc>
        <w:tc>
          <w:tcPr>
            <w:tcW w:w="5953" w:type="dxa"/>
          </w:tcPr>
          <w:p w14:paraId="575C53ED" w14:textId="77777777" w:rsidR="00CC18ED" w:rsidRDefault="00CC18ED" w:rsidP="00CC18E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Action 1 </w:t>
            </w:r>
            <w:r w:rsidRPr="007F1828">
              <w:rPr>
                <w:rFonts w:ascii="Calibri" w:hAnsi="Calibri" w:cs="Calibri"/>
                <w:sz w:val="32"/>
                <w:szCs w:val="32"/>
              </w:rPr>
              <w:t>(Select strategy from Handbook)</w:t>
            </w:r>
          </w:p>
          <w:p w14:paraId="0C0C840B" w14:textId="77777777" w:rsidR="00CC18ED" w:rsidRDefault="00CC18ED" w:rsidP="00CC18E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7323E69" w14:textId="77777777" w:rsidR="00CC18ED" w:rsidRDefault="00CC18ED" w:rsidP="00CC18E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9126A0" wp14:editId="048391DC">
                      <wp:simplePos x="0" y="0"/>
                      <wp:positionH relativeFrom="column">
                        <wp:posOffset>245035</wp:posOffset>
                      </wp:positionH>
                      <wp:positionV relativeFrom="paragraph">
                        <wp:posOffset>221205</wp:posOffset>
                      </wp:positionV>
                      <wp:extent cx="3216537" cy="21515"/>
                      <wp:effectExtent l="0" t="0" r="22225" b="36195"/>
                      <wp:wrapNone/>
                      <wp:docPr id="37098143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537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58FF7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17.4pt" to="272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794F869" w14:textId="6716F1C3" w:rsidR="00CC18ED" w:rsidRPr="0041240F" w:rsidRDefault="00CC18ED" w:rsidP="00CC18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</w:tcPr>
          <w:p w14:paraId="6A706C9A" w14:textId="77777777" w:rsidR="00CC18ED" w:rsidRPr="007F1828" w:rsidRDefault="00CC18ED" w:rsidP="00CC18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Action 2 </w:t>
            </w:r>
            <w:r w:rsidRPr="007F1828">
              <w:rPr>
                <w:rFonts w:ascii="Calibri" w:hAnsi="Calibri" w:cs="Calibri"/>
                <w:sz w:val="32"/>
                <w:szCs w:val="32"/>
              </w:rPr>
              <w:t>(Select strategy from Handbook)</w:t>
            </w:r>
          </w:p>
          <w:p w14:paraId="7D2AA84F" w14:textId="76034D99" w:rsidR="00CC18ED" w:rsidRPr="0041240F" w:rsidRDefault="00CC18ED" w:rsidP="00CC18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C4D7DF" wp14:editId="559A786D">
                      <wp:simplePos x="0" y="0"/>
                      <wp:positionH relativeFrom="column">
                        <wp:posOffset>165137</wp:posOffset>
                      </wp:positionH>
                      <wp:positionV relativeFrom="paragraph">
                        <wp:posOffset>493059</wp:posOffset>
                      </wp:positionV>
                      <wp:extent cx="3216537" cy="21515"/>
                      <wp:effectExtent l="0" t="0" r="22225" b="36195"/>
                      <wp:wrapNone/>
                      <wp:docPr id="116978422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537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1B359B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38.8pt" to="266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4" w:type="dxa"/>
          </w:tcPr>
          <w:p w14:paraId="542949AB" w14:textId="77777777" w:rsidR="00CC18ED" w:rsidRPr="007F1828" w:rsidRDefault="00CC18ED" w:rsidP="00CC18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Action 3 </w:t>
            </w:r>
            <w:r w:rsidRPr="007F1828">
              <w:rPr>
                <w:rFonts w:ascii="Calibri" w:hAnsi="Calibri" w:cs="Calibri"/>
                <w:sz w:val="32"/>
                <w:szCs w:val="32"/>
              </w:rPr>
              <w:t>(Select strategy from Handbook)</w:t>
            </w:r>
          </w:p>
          <w:p w14:paraId="000E83C7" w14:textId="4EFC1570" w:rsidR="00CC18ED" w:rsidRPr="0041240F" w:rsidRDefault="00CC18ED" w:rsidP="00CC18E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CF4E3E" wp14:editId="26F97139">
                      <wp:simplePos x="0" y="0"/>
                      <wp:positionH relativeFrom="column">
                        <wp:posOffset>218290</wp:posOffset>
                      </wp:positionH>
                      <wp:positionV relativeFrom="paragraph">
                        <wp:posOffset>493059</wp:posOffset>
                      </wp:positionV>
                      <wp:extent cx="3216537" cy="21515"/>
                      <wp:effectExtent l="0" t="0" r="22225" b="36195"/>
                      <wp:wrapNone/>
                      <wp:docPr id="17976189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537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753206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38.8pt" to="270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1240F" w:rsidRPr="0041240F" w14:paraId="5E5AB3A7" w14:textId="77777777" w:rsidTr="00534E31">
        <w:trPr>
          <w:trHeight w:val="1898"/>
        </w:trPr>
        <w:tc>
          <w:tcPr>
            <w:tcW w:w="4390" w:type="dxa"/>
            <w:shd w:val="clear" w:color="auto" w:fill="FF0000"/>
          </w:tcPr>
          <w:p w14:paraId="4DF69D34" w14:textId="77777777" w:rsidR="00EB75D2" w:rsidRDefault="00EB75D2" w:rsidP="00EB75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Red/ High Risk</w:t>
            </w:r>
          </w:p>
          <w:p w14:paraId="48FABD4A" w14:textId="4877F262" w:rsidR="00DB23BF" w:rsidRPr="0041240F" w:rsidRDefault="00DB23BF" w:rsidP="00E36F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i/>
                <w:iCs/>
                <w:sz w:val="32"/>
                <w:szCs w:val="32"/>
              </w:rPr>
              <w:t>Pathway to Change 1 (1:1)</w:t>
            </w:r>
            <w:r w:rsidR="007C14E4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7C14E4" w:rsidRPr="0041240F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563CA928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032453C" w14:textId="78D8C623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  <w:r w:rsidRPr="0041240F">
              <w:rPr>
                <w:rFonts w:ascii="Calibri" w:hAnsi="Calibri" w:cs="Calibri"/>
                <w:b/>
                <w:bCs/>
                <w:sz w:val="32"/>
                <w:szCs w:val="32"/>
              </w:rPr>
              <w:t>Supporting wellbeing and general welfare</w:t>
            </w:r>
            <w:r w:rsidRPr="0041240F"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5953" w:type="dxa"/>
            <w:vMerge w:val="restart"/>
            <w:shd w:val="clear" w:color="auto" w:fill="FFFFFF" w:themeFill="background1"/>
          </w:tcPr>
          <w:p w14:paraId="5397099A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E4035E0" w14:textId="7645ABE4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3" w:type="dxa"/>
            <w:vMerge w:val="restart"/>
            <w:shd w:val="clear" w:color="auto" w:fill="FFFFFF" w:themeFill="background1"/>
          </w:tcPr>
          <w:p w14:paraId="18CF0959" w14:textId="7EFAEAE1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4" w:type="dxa"/>
            <w:vMerge w:val="restart"/>
            <w:shd w:val="clear" w:color="auto" w:fill="FFFFFF" w:themeFill="background1"/>
          </w:tcPr>
          <w:p w14:paraId="59A65D6B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41240F" w:rsidRPr="0041240F" w14:paraId="16217114" w14:textId="77777777" w:rsidTr="00534E31">
        <w:trPr>
          <w:trHeight w:val="1898"/>
        </w:trPr>
        <w:tc>
          <w:tcPr>
            <w:tcW w:w="4390" w:type="dxa"/>
            <w:shd w:val="clear" w:color="auto" w:fill="FF0000"/>
          </w:tcPr>
          <w:p w14:paraId="36D7EF8A" w14:textId="77777777" w:rsidR="00EB75D2" w:rsidRDefault="00EB75D2" w:rsidP="00EB75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Red/ High Risk</w:t>
            </w:r>
          </w:p>
          <w:p w14:paraId="58AAE914" w14:textId="68BAE80A" w:rsidR="00DB23BF" w:rsidRPr="0041240F" w:rsidRDefault="00DB23BF" w:rsidP="00E36F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i/>
                <w:iCs/>
                <w:sz w:val="32"/>
                <w:szCs w:val="32"/>
              </w:rPr>
              <w:t>Pathway to Change 2</w:t>
            </w:r>
            <w:r w:rsidR="007C14E4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7C14E4" w:rsidRPr="0041240F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2FBC952F" w14:textId="77777777" w:rsidR="00DB23BF" w:rsidRPr="0041240F" w:rsidRDefault="00DB23BF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0B3FBA5" w14:textId="05E7649D" w:rsidR="00DB23BF" w:rsidRPr="0041240F" w:rsidRDefault="00DB23BF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b/>
                <w:bCs/>
                <w:sz w:val="32"/>
                <w:szCs w:val="32"/>
              </w:rPr>
              <w:t>Feeling supported and cared for</w:t>
            </w:r>
            <w:r w:rsidRPr="0041240F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41240F" w:rsidRPr="0041240F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5953" w:type="dxa"/>
            <w:vMerge/>
            <w:shd w:val="clear" w:color="auto" w:fill="FFFFFF" w:themeFill="background1"/>
          </w:tcPr>
          <w:p w14:paraId="43C9E566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3" w:type="dxa"/>
            <w:vMerge/>
            <w:shd w:val="clear" w:color="auto" w:fill="FFFFFF" w:themeFill="background1"/>
          </w:tcPr>
          <w:p w14:paraId="337248A8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14:paraId="425A1D43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41240F" w:rsidRPr="0041240F" w14:paraId="2F8E7442" w14:textId="77777777" w:rsidTr="00534E31">
        <w:trPr>
          <w:trHeight w:val="1898"/>
        </w:trPr>
        <w:tc>
          <w:tcPr>
            <w:tcW w:w="4390" w:type="dxa"/>
            <w:shd w:val="clear" w:color="auto" w:fill="FFC000"/>
          </w:tcPr>
          <w:p w14:paraId="6BF79F8F" w14:textId="77777777" w:rsidR="008E3683" w:rsidRDefault="008E3683" w:rsidP="008E3683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Amber/Medium Risk</w:t>
            </w:r>
          </w:p>
          <w:p w14:paraId="1BFBC8A9" w14:textId="697222D3" w:rsidR="00DB23BF" w:rsidRPr="0041240F" w:rsidRDefault="00DB23BF" w:rsidP="00E36F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Pathway to Change 3 </w:t>
            </w:r>
            <w:r w:rsidR="007C14E4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7C14E4" w:rsidRPr="0041240F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254DBE4F" w14:textId="6564B6C0" w:rsidR="00DB23BF" w:rsidRPr="0041240F" w:rsidRDefault="007C14E4" w:rsidP="00E36FD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14:paraId="328A980B" w14:textId="725BD835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  <w:r w:rsidRPr="0041240F">
              <w:rPr>
                <w:rFonts w:ascii="Calibri" w:hAnsi="Calibri" w:cs="Calibri"/>
                <w:b/>
                <w:bCs/>
                <w:sz w:val="32"/>
                <w:szCs w:val="32"/>
              </w:rPr>
              <w:t>Building confidence and self-esteem</w:t>
            </w:r>
            <w:r w:rsidRPr="0041240F">
              <w:rPr>
                <w:rFonts w:ascii="Calibri" w:hAnsi="Calibri" w:cs="Calibri"/>
                <w:sz w:val="32"/>
                <w:szCs w:val="32"/>
              </w:rPr>
              <w:t xml:space="preserve">   </w:t>
            </w:r>
          </w:p>
        </w:tc>
        <w:tc>
          <w:tcPr>
            <w:tcW w:w="5953" w:type="dxa"/>
            <w:vMerge/>
            <w:shd w:val="clear" w:color="auto" w:fill="FFC000"/>
          </w:tcPr>
          <w:p w14:paraId="09F7B272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3" w:type="dxa"/>
            <w:vMerge/>
            <w:shd w:val="clear" w:color="auto" w:fill="FFC000"/>
          </w:tcPr>
          <w:p w14:paraId="7E8567B9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4" w:type="dxa"/>
            <w:vMerge/>
            <w:shd w:val="clear" w:color="auto" w:fill="FFC000"/>
          </w:tcPr>
          <w:p w14:paraId="5EE919C5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41240F" w:rsidRPr="0041240F" w14:paraId="7C6C782A" w14:textId="77777777" w:rsidTr="00534E31">
        <w:trPr>
          <w:trHeight w:val="1898"/>
        </w:trPr>
        <w:tc>
          <w:tcPr>
            <w:tcW w:w="4390" w:type="dxa"/>
            <w:shd w:val="clear" w:color="auto" w:fill="4EA72E" w:themeFill="accent6"/>
          </w:tcPr>
          <w:p w14:paraId="20FC0DB0" w14:textId="77777777" w:rsidR="007C14E4" w:rsidRDefault="007C14E4" w:rsidP="007C14E4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Green/Low Risk</w:t>
            </w:r>
          </w:p>
          <w:p w14:paraId="070ECBB7" w14:textId="0282BE48" w:rsidR="00DB23BF" w:rsidRPr="0041240F" w:rsidRDefault="00DB23BF" w:rsidP="00E36F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i/>
                <w:iCs/>
                <w:sz w:val="32"/>
                <w:szCs w:val="32"/>
              </w:rPr>
              <w:t>Pathway to Change 4</w:t>
            </w:r>
            <w:r w:rsidR="007C14E4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7C14E4" w:rsidRPr="0041240F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5DA9E6BF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A062139" w14:textId="6F24D066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  <w:r w:rsidRPr="0041240F">
              <w:rPr>
                <w:rFonts w:ascii="Calibri" w:hAnsi="Calibri" w:cs="Calibri"/>
                <w:b/>
                <w:bCs/>
                <w:sz w:val="32"/>
                <w:szCs w:val="32"/>
              </w:rPr>
              <w:t>Facilitating autonomy and ownership over learning</w:t>
            </w:r>
            <w:r w:rsidRPr="0041240F"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5953" w:type="dxa"/>
            <w:vMerge/>
            <w:shd w:val="clear" w:color="auto" w:fill="FFFFFF" w:themeFill="background1"/>
          </w:tcPr>
          <w:p w14:paraId="383580DE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3" w:type="dxa"/>
            <w:vMerge/>
            <w:shd w:val="clear" w:color="auto" w:fill="FFFFFF" w:themeFill="background1"/>
          </w:tcPr>
          <w:p w14:paraId="779D9378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14:paraId="732F6617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41240F" w:rsidRPr="0041240F" w14:paraId="25A235D0" w14:textId="77777777" w:rsidTr="00534E31">
        <w:trPr>
          <w:trHeight w:val="1898"/>
        </w:trPr>
        <w:tc>
          <w:tcPr>
            <w:tcW w:w="4390" w:type="dxa"/>
            <w:shd w:val="clear" w:color="auto" w:fill="4EA72E" w:themeFill="accent6"/>
          </w:tcPr>
          <w:p w14:paraId="503C31A2" w14:textId="77777777" w:rsidR="007C14E4" w:rsidRDefault="007C14E4" w:rsidP="007C14E4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Green/Low Risk</w:t>
            </w:r>
          </w:p>
          <w:p w14:paraId="684ACE2E" w14:textId="30BB48EE" w:rsidR="00DB23BF" w:rsidRPr="0041240F" w:rsidRDefault="00DB23BF" w:rsidP="00E36FD2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41240F">
              <w:rPr>
                <w:rFonts w:ascii="Calibri" w:hAnsi="Calibri" w:cs="Calibri"/>
                <w:i/>
                <w:iCs/>
                <w:sz w:val="32"/>
                <w:szCs w:val="32"/>
              </w:rPr>
              <w:t>Pathway to Change 5</w:t>
            </w:r>
            <w:r w:rsidR="007C14E4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7C14E4" w:rsidRPr="0041240F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18D49C58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F7EA972" w14:textId="1BE9B080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  <w:r w:rsidRPr="0041240F">
              <w:rPr>
                <w:rFonts w:ascii="Calibri" w:hAnsi="Calibri" w:cs="Calibri"/>
                <w:b/>
                <w:bCs/>
                <w:sz w:val="32"/>
                <w:szCs w:val="32"/>
              </w:rPr>
              <w:t>Building valued learner identity</w:t>
            </w:r>
            <w:r w:rsidRPr="0041240F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5953" w:type="dxa"/>
            <w:vMerge/>
            <w:shd w:val="clear" w:color="auto" w:fill="FFFFFF" w:themeFill="background1"/>
          </w:tcPr>
          <w:p w14:paraId="29374D36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3" w:type="dxa"/>
            <w:vMerge/>
            <w:shd w:val="clear" w:color="auto" w:fill="FFFFFF" w:themeFill="background1"/>
          </w:tcPr>
          <w:p w14:paraId="4999DF71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14:paraId="2F1DCF30" w14:textId="77777777" w:rsidR="00DB23BF" w:rsidRPr="0041240F" w:rsidRDefault="00DB23BF" w:rsidP="00E36FD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5021BF89" w14:textId="77777777" w:rsidR="00E365BE" w:rsidRPr="007F1828" w:rsidRDefault="00E365BE" w:rsidP="007F1828">
      <w:pPr>
        <w:rPr>
          <w:sz w:val="2"/>
          <w:szCs w:val="2"/>
        </w:rPr>
      </w:pPr>
    </w:p>
    <w:sectPr w:rsidR="00E365BE" w:rsidRPr="007F1828" w:rsidSect="003B37D4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00AEA"/>
    <w:multiLevelType w:val="hybridMultilevel"/>
    <w:tmpl w:val="B468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867B8"/>
    <w:multiLevelType w:val="hybridMultilevel"/>
    <w:tmpl w:val="7D90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33428"/>
    <w:multiLevelType w:val="hybridMultilevel"/>
    <w:tmpl w:val="59D6EC2E"/>
    <w:lvl w:ilvl="0" w:tplc="F122269A">
      <w:start w:val="14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77EB0"/>
    <w:multiLevelType w:val="hybridMultilevel"/>
    <w:tmpl w:val="0F06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26781">
    <w:abstractNumId w:val="3"/>
  </w:num>
  <w:num w:numId="2" w16cid:durableId="1458179684">
    <w:abstractNumId w:val="1"/>
  </w:num>
  <w:num w:numId="3" w16cid:durableId="957567172">
    <w:abstractNumId w:val="0"/>
  </w:num>
  <w:num w:numId="4" w16cid:durableId="133746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D3"/>
    <w:rsid w:val="00001091"/>
    <w:rsid w:val="000D64C1"/>
    <w:rsid w:val="000F7F25"/>
    <w:rsid w:val="001837B9"/>
    <w:rsid w:val="001C033F"/>
    <w:rsid w:val="00207149"/>
    <w:rsid w:val="003B37D4"/>
    <w:rsid w:val="0041240F"/>
    <w:rsid w:val="004426A9"/>
    <w:rsid w:val="004469CF"/>
    <w:rsid w:val="00534E31"/>
    <w:rsid w:val="005533A3"/>
    <w:rsid w:val="005656E5"/>
    <w:rsid w:val="00583517"/>
    <w:rsid w:val="005F4CB8"/>
    <w:rsid w:val="006955CB"/>
    <w:rsid w:val="007178EE"/>
    <w:rsid w:val="007B750B"/>
    <w:rsid w:val="007C14E4"/>
    <w:rsid w:val="007C2A76"/>
    <w:rsid w:val="007F1828"/>
    <w:rsid w:val="0086280D"/>
    <w:rsid w:val="008D23DD"/>
    <w:rsid w:val="008E3683"/>
    <w:rsid w:val="008E4A08"/>
    <w:rsid w:val="009A1A20"/>
    <w:rsid w:val="009E7A77"/>
    <w:rsid w:val="00A2566A"/>
    <w:rsid w:val="00A26B4E"/>
    <w:rsid w:val="00A6014F"/>
    <w:rsid w:val="00A735D3"/>
    <w:rsid w:val="00AA4AC3"/>
    <w:rsid w:val="00AB3B2A"/>
    <w:rsid w:val="00C40D05"/>
    <w:rsid w:val="00CB5EC0"/>
    <w:rsid w:val="00CC18ED"/>
    <w:rsid w:val="00D37669"/>
    <w:rsid w:val="00DA4D18"/>
    <w:rsid w:val="00DB23BF"/>
    <w:rsid w:val="00DF2620"/>
    <w:rsid w:val="00DF4F62"/>
    <w:rsid w:val="00E02D52"/>
    <w:rsid w:val="00E365BE"/>
    <w:rsid w:val="00E74CA9"/>
    <w:rsid w:val="00E81908"/>
    <w:rsid w:val="00EB75D2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C02F"/>
  <w15:chartTrackingRefBased/>
  <w15:docId w15:val="{4DDBE97D-E228-4E90-BC40-AF025109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D3"/>
    <w:rPr>
      <w:kern w:val="0"/>
      <w:lang w:val="ca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5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Douthwaite</dc:creator>
  <cp:keywords/>
  <dc:description/>
  <cp:lastModifiedBy>Alison Douthwaite</cp:lastModifiedBy>
  <cp:revision>17</cp:revision>
  <dcterms:created xsi:type="dcterms:W3CDTF">2024-04-30T15:15:00Z</dcterms:created>
  <dcterms:modified xsi:type="dcterms:W3CDTF">2024-05-16T14:43:00Z</dcterms:modified>
</cp:coreProperties>
</file>