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9168" w14:textId="77777777" w:rsidR="00C31496" w:rsidRDefault="00C31496" w:rsidP="00530E19">
      <w:pPr>
        <w:rPr>
          <w:rFonts w:ascii="Lato" w:hAnsi="Lato"/>
        </w:rPr>
      </w:pPr>
    </w:p>
    <w:p w14:paraId="411842AE" w14:textId="71DBFAE6" w:rsidR="00530E19" w:rsidRPr="00D3705C" w:rsidRDefault="00530E19" w:rsidP="00530E19">
      <w:pPr>
        <w:rPr>
          <w:b/>
          <w:bCs/>
          <w:color w:val="00A8A8"/>
          <w:sz w:val="56"/>
          <w:szCs w:val="56"/>
        </w:rPr>
      </w:pPr>
      <w:r w:rsidRPr="00D3705C">
        <w:rPr>
          <w:b/>
          <w:bCs/>
          <w:color w:val="00A8A8"/>
          <w:sz w:val="56"/>
          <w:szCs w:val="56"/>
        </w:rPr>
        <w:t>Collecting and Reviewing</w:t>
      </w:r>
      <w:r w:rsidR="00033ECF" w:rsidRPr="00D3705C">
        <w:rPr>
          <w:b/>
          <w:bCs/>
          <w:color w:val="00A8A8"/>
          <w:sz w:val="56"/>
          <w:szCs w:val="56"/>
        </w:rPr>
        <w:t xml:space="preserve"> Impact</w:t>
      </w:r>
      <w:r w:rsidRPr="00D3705C">
        <w:rPr>
          <w:b/>
          <w:bCs/>
          <w:color w:val="00A8A8"/>
          <w:sz w:val="56"/>
          <w:szCs w:val="56"/>
        </w:rPr>
        <w:t xml:space="preserve"> Evidence: Guidance Document</w:t>
      </w:r>
    </w:p>
    <w:p w14:paraId="44BE0776" w14:textId="017415E0" w:rsidR="00C31496" w:rsidRPr="009A366B" w:rsidRDefault="00530E19" w:rsidP="00530E19">
      <w:pPr>
        <w:rPr>
          <w:b/>
          <w:bCs/>
          <w:color w:val="404040" w:themeColor="text1" w:themeTint="BF"/>
          <w:sz w:val="28"/>
          <w:szCs w:val="28"/>
        </w:rPr>
      </w:pPr>
      <w:r w:rsidRPr="009A366B">
        <w:rPr>
          <w:b/>
          <w:bCs/>
          <w:color w:val="404040" w:themeColor="text1" w:themeTint="BF"/>
          <w:sz w:val="28"/>
          <w:szCs w:val="28"/>
        </w:rPr>
        <w:t>What are the different types of</w:t>
      </w:r>
      <w:r w:rsidR="008D006A" w:rsidRPr="009A366B">
        <w:rPr>
          <w:b/>
          <w:bCs/>
          <w:color w:val="404040" w:themeColor="text1" w:themeTint="BF"/>
          <w:sz w:val="28"/>
          <w:szCs w:val="28"/>
        </w:rPr>
        <w:t xml:space="preserve"> impact</w:t>
      </w:r>
      <w:r w:rsidRPr="009A366B">
        <w:rPr>
          <w:b/>
          <w:bCs/>
          <w:color w:val="404040" w:themeColor="text1" w:themeTint="BF"/>
          <w:sz w:val="28"/>
          <w:szCs w:val="28"/>
        </w:rPr>
        <w:t xml:space="preserve"> evidence?</w:t>
      </w:r>
    </w:p>
    <w:tbl>
      <w:tblPr>
        <w:tblStyle w:val="TableGrid"/>
        <w:tblW w:w="15301" w:type="dxa"/>
        <w:tblBorders>
          <w:top w:val="single" w:sz="4" w:space="0" w:color="00A8A8"/>
          <w:left w:val="single" w:sz="4" w:space="0" w:color="00A8A8"/>
          <w:bottom w:val="single" w:sz="4" w:space="0" w:color="00A8A8"/>
          <w:right w:val="single" w:sz="4" w:space="0" w:color="00A8A8"/>
          <w:insideH w:val="single" w:sz="4" w:space="0" w:color="00A8A8"/>
          <w:insideV w:val="single" w:sz="4" w:space="0" w:color="00A8A8"/>
        </w:tblBorders>
        <w:tblLook w:val="04A0" w:firstRow="1" w:lastRow="0" w:firstColumn="1" w:lastColumn="0" w:noHBand="0" w:noVBand="1"/>
      </w:tblPr>
      <w:tblGrid>
        <w:gridCol w:w="1696"/>
        <w:gridCol w:w="4535"/>
        <w:gridCol w:w="4535"/>
        <w:gridCol w:w="4535"/>
      </w:tblGrid>
      <w:tr w:rsidR="005B311F" w:rsidRPr="009A366B" w14:paraId="06A902F6" w14:textId="77777777" w:rsidTr="005809A7">
        <w:trPr>
          <w:trHeight w:val="350"/>
        </w:trPr>
        <w:tc>
          <w:tcPr>
            <w:tcW w:w="1696" w:type="dxa"/>
            <w:vAlign w:val="center"/>
          </w:tcPr>
          <w:p w14:paraId="7F0A7337" w14:textId="256EFE9E"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Type of</w:t>
            </w:r>
            <w:r w:rsidR="00033ECF" w:rsidRPr="0067463E">
              <w:rPr>
                <w:b/>
                <w:bCs/>
                <w:color w:val="404040" w:themeColor="text1" w:themeTint="BF"/>
                <w:sz w:val="21"/>
                <w:szCs w:val="21"/>
              </w:rPr>
              <w:t xml:space="preserve"> Impact</w:t>
            </w:r>
            <w:r w:rsidRPr="0067463E">
              <w:rPr>
                <w:b/>
                <w:bCs/>
                <w:color w:val="404040" w:themeColor="text1" w:themeTint="BF"/>
                <w:sz w:val="21"/>
                <w:szCs w:val="21"/>
              </w:rPr>
              <w:t xml:space="preserve"> evidence</w:t>
            </w:r>
          </w:p>
        </w:tc>
        <w:tc>
          <w:tcPr>
            <w:tcW w:w="4535" w:type="dxa"/>
            <w:vAlign w:val="center"/>
          </w:tcPr>
          <w:p w14:paraId="4EF2FB5E"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When to collect and use it</w:t>
            </w:r>
          </w:p>
        </w:tc>
        <w:tc>
          <w:tcPr>
            <w:tcW w:w="4535" w:type="dxa"/>
            <w:vAlign w:val="center"/>
          </w:tcPr>
          <w:p w14:paraId="5AA21EB0"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What it tells us</w:t>
            </w:r>
          </w:p>
        </w:tc>
        <w:tc>
          <w:tcPr>
            <w:tcW w:w="4535" w:type="dxa"/>
            <w:vAlign w:val="center"/>
          </w:tcPr>
          <w:p w14:paraId="1880221A"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Tools</w:t>
            </w:r>
          </w:p>
        </w:tc>
      </w:tr>
      <w:tr w:rsidR="005B311F" w:rsidRPr="009A366B" w14:paraId="59AFC171" w14:textId="77777777" w:rsidTr="005809A7">
        <w:tc>
          <w:tcPr>
            <w:tcW w:w="1696" w:type="dxa"/>
            <w:vAlign w:val="center"/>
          </w:tcPr>
          <w:p w14:paraId="1CE33DBC" w14:textId="77777777" w:rsidR="00530E19" w:rsidRPr="0067463E" w:rsidRDefault="00530E19" w:rsidP="00A66D25">
            <w:pPr>
              <w:spacing w:after="160" w:line="259" w:lineRule="auto"/>
              <w:rPr>
                <w:b/>
                <w:bCs/>
                <w:sz w:val="21"/>
                <w:szCs w:val="21"/>
              </w:rPr>
            </w:pPr>
            <w:r w:rsidRPr="0067463E">
              <w:rPr>
                <w:b/>
                <w:bCs/>
                <w:color w:val="00A8A8"/>
                <w:sz w:val="21"/>
                <w:szCs w:val="21"/>
              </w:rPr>
              <w:t>Feedback</w:t>
            </w:r>
          </w:p>
        </w:tc>
        <w:tc>
          <w:tcPr>
            <w:tcW w:w="4535" w:type="dxa"/>
            <w:vAlign w:val="center"/>
          </w:tcPr>
          <w:p w14:paraId="54C408C6"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Soon after the end of career activities.</w:t>
            </w:r>
          </w:p>
          <w:p w14:paraId="7F916599"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From students, parents, teachers, employers, activity providers.</w:t>
            </w:r>
          </w:p>
          <w:p w14:paraId="07F39E57" w14:textId="59B43E44"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When activities are new, </w:t>
            </w:r>
            <w:r w:rsidR="00C31496" w:rsidRPr="005809A7">
              <w:rPr>
                <w:color w:val="404040" w:themeColor="text1" w:themeTint="BF"/>
                <w:sz w:val="17"/>
                <w:szCs w:val="17"/>
              </w:rPr>
              <w:t>substantial,</w:t>
            </w:r>
            <w:r w:rsidRPr="005809A7">
              <w:rPr>
                <w:color w:val="404040" w:themeColor="text1" w:themeTint="BF"/>
                <w:sz w:val="17"/>
                <w:szCs w:val="17"/>
              </w:rPr>
              <w:t xml:space="preserve"> or significant in cost/resource (as overuse can undermine engagement).</w:t>
            </w:r>
          </w:p>
        </w:tc>
        <w:tc>
          <w:tcPr>
            <w:tcW w:w="4535" w:type="dxa"/>
            <w:vAlign w:val="center"/>
          </w:tcPr>
          <w:p w14:paraId="280E178B"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The initial reactions of participants about satisfaction, usefulness, enjoyment, perceived impact on next steps.</w:t>
            </w:r>
          </w:p>
          <w:p w14:paraId="3FAA0238" w14:textId="365F2EAE"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Different perspectives</w:t>
            </w:r>
            <w:r w:rsidR="1AA79CC8" w:rsidRPr="005809A7">
              <w:rPr>
                <w:color w:val="404040" w:themeColor="text1" w:themeTint="BF"/>
                <w:sz w:val="17"/>
                <w:szCs w:val="17"/>
              </w:rPr>
              <w:t>.</w:t>
            </w:r>
          </w:p>
        </w:tc>
        <w:tc>
          <w:tcPr>
            <w:tcW w:w="4535" w:type="dxa"/>
            <w:vAlign w:val="center"/>
          </w:tcPr>
          <w:p w14:paraId="144313CA" w14:textId="5D77EAB8" w:rsidR="00530E19" w:rsidRPr="001807C0" w:rsidRDefault="00783F5D" w:rsidP="00A66D25">
            <w:pPr>
              <w:pStyle w:val="ListParagraph"/>
              <w:numPr>
                <w:ilvl w:val="0"/>
                <w:numId w:val="26"/>
              </w:numPr>
              <w:rPr>
                <w:sz w:val="17"/>
                <w:szCs w:val="17"/>
              </w:rPr>
            </w:pPr>
            <w:hyperlink r:id="rId10" w:history="1">
              <w:r w:rsidR="00530E19" w:rsidRPr="001807C0">
                <w:rPr>
                  <w:rStyle w:val="Hyperlink"/>
                  <w:color w:val="auto"/>
                  <w:sz w:val="17"/>
                  <w:szCs w:val="17"/>
                </w:rPr>
                <w:t>Example questionnaires</w:t>
              </w:r>
            </w:hyperlink>
            <w:r w:rsidR="00530E19" w:rsidRPr="001807C0">
              <w:rPr>
                <w:sz w:val="17"/>
                <w:szCs w:val="17"/>
              </w:rPr>
              <w:t xml:space="preserve"> </w:t>
            </w:r>
          </w:p>
          <w:p w14:paraId="73FD5B98" w14:textId="75E92128" w:rsidR="00530E19" w:rsidRPr="001807C0" w:rsidRDefault="00783F5D" w:rsidP="00A66D25">
            <w:pPr>
              <w:pStyle w:val="ListParagraph"/>
              <w:numPr>
                <w:ilvl w:val="0"/>
                <w:numId w:val="26"/>
              </w:numPr>
              <w:rPr>
                <w:sz w:val="17"/>
                <w:szCs w:val="17"/>
              </w:rPr>
            </w:pPr>
            <w:hyperlink r:id="rId11" w:history="1">
              <w:r w:rsidR="00530E19" w:rsidRPr="001807C0">
                <w:rPr>
                  <w:rStyle w:val="Hyperlink"/>
                  <w:color w:val="auto"/>
                  <w:sz w:val="17"/>
                  <w:szCs w:val="17"/>
                </w:rPr>
                <w:t>Creative ways to gather feedback</w:t>
              </w:r>
            </w:hyperlink>
          </w:p>
        </w:tc>
      </w:tr>
      <w:tr w:rsidR="005B311F" w:rsidRPr="009A366B" w14:paraId="08B06916" w14:textId="77777777" w:rsidTr="005809A7">
        <w:tc>
          <w:tcPr>
            <w:tcW w:w="1696" w:type="dxa"/>
            <w:vAlign w:val="center"/>
          </w:tcPr>
          <w:p w14:paraId="469CE331" w14:textId="03EDF74E" w:rsidR="00530E19" w:rsidRPr="0067463E" w:rsidRDefault="00A43C05" w:rsidP="00A66D25">
            <w:pPr>
              <w:spacing w:after="160" w:line="259" w:lineRule="auto"/>
              <w:rPr>
                <w:b/>
                <w:bCs/>
                <w:sz w:val="21"/>
                <w:szCs w:val="21"/>
              </w:rPr>
            </w:pPr>
            <w:r w:rsidRPr="0067463E">
              <w:rPr>
                <w:b/>
                <w:bCs/>
                <w:color w:val="00A8A8"/>
                <w:sz w:val="21"/>
                <w:szCs w:val="21"/>
              </w:rPr>
              <w:softHyphen/>
            </w:r>
            <w:r w:rsidRPr="0067463E">
              <w:rPr>
                <w:b/>
                <w:bCs/>
                <w:color w:val="00A8A8"/>
                <w:sz w:val="21"/>
                <w:szCs w:val="21"/>
              </w:rPr>
              <w:softHyphen/>
            </w:r>
            <w:r w:rsidRPr="0067463E">
              <w:rPr>
                <w:b/>
                <w:bCs/>
                <w:color w:val="00A8A8"/>
                <w:sz w:val="21"/>
                <w:szCs w:val="21"/>
              </w:rPr>
              <w:softHyphen/>
            </w:r>
            <w:r w:rsidR="00530E19" w:rsidRPr="0067463E">
              <w:rPr>
                <w:b/>
                <w:bCs/>
                <w:color w:val="00A8A8"/>
                <w:sz w:val="21"/>
                <w:szCs w:val="21"/>
              </w:rPr>
              <w:t xml:space="preserve">Career knowledge </w:t>
            </w:r>
            <w:r w:rsidR="00A66D25">
              <w:rPr>
                <w:b/>
                <w:bCs/>
                <w:color w:val="00A8A8"/>
                <w:sz w:val="21"/>
                <w:szCs w:val="21"/>
              </w:rPr>
              <w:br/>
            </w:r>
            <w:r w:rsidR="00530E19" w:rsidRPr="0067463E">
              <w:rPr>
                <w:b/>
                <w:bCs/>
                <w:color w:val="00A8A8"/>
                <w:sz w:val="21"/>
                <w:szCs w:val="21"/>
              </w:rPr>
              <w:t>and skills</w:t>
            </w:r>
          </w:p>
        </w:tc>
        <w:tc>
          <w:tcPr>
            <w:tcW w:w="4535" w:type="dxa"/>
            <w:vAlign w:val="center"/>
          </w:tcPr>
          <w:p w14:paraId="0BC4B229" w14:textId="7D30E564"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At targeted points and infrequently as these indicators improve slowly </w:t>
            </w:r>
            <w:r w:rsidR="2AB9C916" w:rsidRPr="005809A7">
              <w:rPr>
                <w:color w:val="404040" w:themeColor="text1" w:themeTint="BF"/>
                <w:sz w:val="17"/>
                <w:szCs w:val="17"/>
              </w:rPr>
              <w:t xml:space="preserve">as a result </w:t>
            </w:r>
            <w:r w:rsidR="00C31496" w:rsidRPr="005809A7">
              <w:rPr>
                <w:color w:val="404040" w:themeColor="text1" w:themeTint="BF"/>
                <w:sz w:val="17"/>
                <w:szCs w:val="17"/>
              </w:rPr>
              <w:t>of</w:t>
            </w:r>
            <w:r w:rsidRPr="005809A7">
              <w:rPr>
                <w:color w:val="404040" w:themeColor="text1" w:themeTint="BF"/>
                <w:sz w:val="17"/>
                <w:szCs w:val="17"/>
              </w:rPr>
              <w:t xml:space="preserve"> many experiences.</w:t>
            </w:r>
          </w:p>
          <w:p w14:paraId="13F37CD4"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At transition points to inform choices and targeted support. </w:t>
            </w:r>
          </w:p>
        </w:tc>
        <w:tc>
          <w:tcPr>
            <w:tcW w:w="4535" w:type="dxa"/>
            <w:vAlign w:val="center"/>
          </w:tcPr>
          <w:p w14:paraId="7F0891C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Progress towards learning outcomes.</w:t>
            </w:r>
          </w:p>
          <w:p w14:paraId="06CC708F"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Preparedness for next steps.</w:t>
            </w:r>
          </w:p>
          <w:p w14:paraId="6C06D086"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Gaps in knowledge and skills that can be addressed through further support.</w:t>
            </w:r>
          </w:p>
          <w:p w14:paraId="5C7A95D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Changes for cohorts and individuals in relation to career programmes.</w:t>
            </w:r>
          </w:p>
        </w:tc>
        <w:tc>
          <w:tcPr>
            <w:tcW w:w="4535" w:type="dxa"/>
            <w:vAlign w:val="center"/>
          </w:tcPr>
          <w:p w14:paraId="638D7118" w14:textId="16DB6D93" w:rsidR="00D61706" w:rsidRPr="00D61706" w:rsidRDefault="00783F5D" w:rsidP="00D61706">
            <w:pPr>
              <w:pStyle w:val="ListParagraph"/>
              <w:numPr>
                <w:ilvl w:val="0"/>
                <w:numId w:val="27"/>
              </w:numPr>
              <w:rPr>
                <w:rFonts w:cs="Calibri"/>
                <w:sz w:val="17"/>
                <w:szCs w:val="17"/>
              </w:rPr>
            </w:pPr>
            <w:hyperlink r:id="rId12" w:history="1">
              <w:r w:rsidR="00D61706">
                <w:rPr>
                  <w:rStyle w:val="Hyperlink"/>
                </w:rPr>
                <w:t xml:space="preserve">Future Skills Questionnaire </w:t>
              </w:r>
            </w:hyperlink>
          </w:p>
          <w:p w14:paraId="57357809" w14:textId="03D8C8BA" w:rsidR="00530E19" w:rsidRPr="001807C0" w:rsidRDefault="00783F5D" w:rsidP="00D61706">
            <w:pPr>
              <w:pStyle w:val="ListParagraph"/>
              <w:numPr>
                <w:ilvl w:val="0"/>
                <w:numId w:val="27"/>
              </w:numPr>
              <w:rPr>
                <w:rFonts w:cs="Calibri"/>
                <w:sz w:val="17"/>
                <w:szCs w:val="17"/>
              </w:rPr>
            </w:pPr>
            <w:hyperlink r:id="rId13" w:history="1">
              <w:r w:rsidR="00CD720B" w:rsidRPr="001807C0">
                <w:rPr>
                  <w:rStyle w:val="Hyperlink"/>
                  <w:rFonts w:cs="Calibri"/>
                  <w:color w:val="auto"/>
                  <w:sz w:val="17"/>
                  <w:szCs w:val="17"/>
                </w:rPr>
                <w:t>Compass+</w:t>
              </w:r>
            </w:hyperlink>
            <w:r w:rsidR="00D61706">
              <w:rPr>
                <w:rStyle w:val="Hyperlink"/>
                <w:rFonts w:cs="Calibri"/>
                <w:color w:val="auto"/>
                <w:sz w:val="17"/>
                <w:szCs w:val="17"/>
              </w:rPr>
              <w:t xml:space="preserve">  </w:t>
            </w:r>
          </w:p>
          <w:p w14:paraId="085B6072" w14:textId="60EC8382" w:rsidR="00530E19" w:rsidRPr="001807C0" w:rsidRDefault="00A96C89" w:rsidP="00236147">
            <w:pPr>
              <w:pStyle w:val="ListParagraph"/>
              <w:numPr>
                <w:ilvl w:val="0"/>
                <w:numId w:val="26"/>
              </w:numPr>
              <w:rPr>
                <w:rFonts w:cs="Calibri"/>
                <w:color w:val="404040" w:themeColor="text1" w:themeTint="BF"/>
                <w:sz w:val="17"/>
                <w:szCs w:val="17"/>
              </w:rPr>
            </w:pPr>
            <w:r w:rsidRPr="001807C0">
              <w:rPr>
                <w:rFonts w:cs="Calibri"/>
                <w:sz w:val="17"/>
                <w:szCs w:val="17"/>
              </w:rPr>
              <w:t xml:space="preserve">Skills Builder </w:t>
            </w:r>
            <w:hyperlink r:id="rId14" w:history="1">
              <w:r w:rsidRPr="001807C0">
                <w:rPr>
                  <w:rStyle w:val="Hyperlink"/>
                  <w:rFonts w:cs="Calibri"/>
                  <w:color w:val="auto"/>
                  <w:sz w:val="17"/>
                  <w:szCs w:val="17"/>
                </w:rPr>
                <w:t>Benchmark Tool</w:t>
              </w:r>
            </w:hyperlink>
          </w:p>
          <w:p w14:paraId="348FB8C7" w14:textId="77777777" w:rsidR="00530E19" w:rsidRPr="001807C0" w:rsidRDefault="00530E19" w:rsidP="00236147">
            <w:pPr>
              <w:pStyle w:val="ListParagraph"/>
              <w:numPr>
                <w:ilvl w:val="0"/>
                <w:numId w:val="26"/>
              </w:numPr>
              <w:rPr>
                <w:rFonts w:cs="Calibri"/>
                <w:color w:val="404040" w:themeColor="text1" w:themeTint="BF"/>
                <w:sz w:val="17"/>
                <w:szCs w:val="17"/>
              </w:rPr>
            </w:pPr>
            <w:r w:rsidRPr="001807C0">
              <w:rPr>
                <w:rFonts w:cs="Calibri"/>
                <w:color w:val="404040" w:themeColor="text1" w:themeTint="BF"/>
                <w:sz w:val="17"/>
                <w:szCs w:val="17"/>
              </w:rPr>
              <w:t>Measures of personal development</w:t>
            </w:r>
          </w:p>
        </w:tc>
      </w:tr>
      <w:tr w:rsidR="005B311F" w:rsidRPr="009A366B" w14:paraId="49BC66BC" w14:textId="77777777" w:rsidTr="005809A7">
        <w:tc>
          <w:tcPr>
            <w:tcW w:w="1696" w:type="dxa"/>
            <w:vAlign w:val="center"/>
          </w:tcPr>
          <w:p w14:paraId="72BC2CB5" w14:textId="77777777" w:rsidR="00530E19" w:rsidRPr="0067463E" w:rsidRDefault="00530E19" w:rsidP="00A66D25">
            <w:pPr>
              <w:spacing w:after="160" w:line="259" w:lineRule="auto"/>
              <w:rPr>
                <w:b/>
                <w:bCs/>
                <w:color w:val="404040" w:themeColor="text1" w:themeTint="BF"/>
                <w:sz w:val="21"/>
                <w:szCs w:val="21"/>
              </w:rPr>
            </w:pPr>
            <w:r w:rsidRPr="0067463E">
              <w:rPr>
                <w:b/>
                <w:bCs/>
                <w:color w:val="00A8A8"/>
                <w:sz w:val="21"/>
                <w:szCs w:val="21"/>
              </w:rPr>
              <w:t>Education engagement</w:t>
            </w:r>
          </w:p>
        </w:tc>
        <w:tc>
          <w:tcPr>
            <w:tcW w:w="4535" w:type="dxa"/>
            <w:vAlign w:val="center"/>
          </w:tcPr>
          <w:p w14:paraId="380C130A"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As needed to check how careers learning informs curriculum engagement.</w:t>
            </w:r>
          </w:p>
          <w:p w14:paraId="42434711"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More frequently for students at risk of disengagement or poor academic outcomes.</w:t>
            </w:r>
          </w:p>
        </w:tc>
        <w:tc>
          <w:tcPr>
            <w:tcW w:w="4535" w:type="dxa"/>
            <w:vAlign w:val="center"/>
          </w:tcPr>
          <w:p w14:paraId="2A0A284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Progress in engaging students at risk of poor outcomes.</w:t>
            </w:r>
          </w:p>
          <w:p w14:paraId="62B6E741"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Impact of career programme and targeted activities on engagement with learning.</w:t>
            </w:r>
          </w:p>
        </w:tc>
        <w:tc>
          <w:tcPr>
            <w:tcW w:w="4535" w:type="dxa"/>
            <w:vAlign w:val="center"/>
          </w:tcPr>
          <w:p w14:paraId="1DD297CF"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End of unit / year tests</w:t>
            </w:r>
          </w:p>
          <w:p w14:paraId="3316A8F5"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Termly / annual effort grades</w:t>
            </w:r>
          </w:p>
          <w:p w14:paraId="075C80CB"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Teacher reports</w:t>
            </w:r>
          </w:p>
          <w:p w14:paraId="02C5B1A9"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Public exam results</w:t>
            </w:r>
          </w:p>
          <w:p w14:paraId="753D3F90" w14:textId="0E7B4D49"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 xml:space="preserve">Bespoke survey using questions </w:t>
            </w:r>
            <w:r w:rsidR="13A66F7D" w:rsidRPr="005809A7">
              <w:rPr>
                <w:color w:val="404040" w:themeColor="text1" w:themeTint="BF"/>
                <w:sz w:val="17"/>
                <w:szCs w:val="17"/>
              </w:rPr>
              <w:t>about engagement</w:t>
            </w:r>
          </w:p>
        </w:tc>
      </w:tr>
      <w:tr w:rsidR="005B311F" w:rsidRPr="009A366B" w14:paraId="0E0B9E77" w14:textId="77777777" w:rsidTr="005809A7">
        <w:tc>
          <w:tcPr>
            <w:tcW w:w="1696" w:type="dxa"/>
            <w:vAlign w:val="center"/>
          </w:tcPr>
          <w:p w14:paraId="5BBE0898" w14:textId="77777777" w:rsidR="00530E19" w:rsidRPr="0067463E" w:rsidRDefault="00530E19" w:rsidP="00A66D25">
            <w:pPr>
              <w:spacing w:after="160" w:line="259" w:lineRule="auto"/>
              <w:rPr>
                <w:b/>
                <w:bCs/>
                <w:color w:val="404040" w:themeColor="text1" w:themeTint="BF"/>
                <w:sz w:val="21"/>
                <w:szCs w:val="21"/>
              </w:rPr>
            </w:pPr>
            <w:r w:rsidRPr="0067463E">
              <w:rPr>
                <w:b/>
                <w:bCs/>
                <w:color w:val="47A9A9"/>
                <w:sz w:val="21"/>
                <w:szCs w:val="21"/>
              </w:rPr>
              <w:t>Destinations data</w:t>
            </w:r>
          </w:p>
        </w:tc>
        <w:tc>
          <w:tcPr>
            <w:tcW w:w="4535" w:type="dxa"/>
            <w:vAlign w:val="center"/>
          </w:tcPr>
          <w:p w14:paraId="245CA84E"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Collect intended destinations during final one or two years of school/college.</w:t>
            </w:r>
          </w:p>
          <w:p w14:paraId="11B1803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Actual and sustained destinations for leavers.</w:t>
            </w:r>
          </w:p>
          <w:p w14:paraId="618FB90E"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Maintain for 3 years after school.</w:t>
            </w:r>
          </w:p>
          <w:p w14:paraId="61BB457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Access published destinations measures annually.</w:t>
            </w:r>
          </w:p>
        </w:tc>
        <w:tc>
          <w:tcPr>
            <w:tcW w:w="4535" w:type="dxa"/>
            <w:vAlign w:val="center"/>
          </w:tcPr>
          <w:p w14:paraId="68640DD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Pathways for students according to cohort, disadvantage, gender, attainment.</w:t>
            </w:r>
          </w:p>
          <w:p w14:paraId="6172D7E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Trends year on year in relation to the career programme and wider education.</w:t>
            </w:r>
          </w:p>
          <w:p w14:paraId="0DD09B1F"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Suitability of pathways for groups of students.</w:t>
            </w:r>
          </w:p>
        </w:tc>
        <w:tc>
          <w:tcPr>
            <w:tcW w:w="4535" w:type="dxa"/>
            <w:vAlign w:val="center"/>
          </w:tcPr>
          <w:p w14:paraId="113CBA8E" w14:textId="3B105824" w:rsidR="00530E19" w:rsidRPr="005809A7" w:rsidRDefault="00783F5D" w:rsidP="00A66D25">
            <w:pPr>
              <w:pStyle w:val="ListParagraph"/>
              <w:numPr>
                <w:ilvl w:val="0"/>
                <w:numId w:val="24"/>
              </w:numPr>
              <w:rPr>
                <w:color w:val="404040" w:themeColor="text1" w:themeTint="BF"/>
                <w:sz w:val="17"/>
                <w:szCs w:val="17"/>
              </w:rPr>
            </w:pPr>
            <w:hyperlink r:id="rId15" w:history="1">
              <w:r w:rsidR="00530E19" w:rsidRPr="005809A7">
                <w:rPr>
                  <w:rStyle w:val="Hyperlink"/>
                  <w:sz w:val="17"/>
                  <w:szCs w:val="17"/>
                </w:rPr>
                <w:t>Compass+</w:t>
              </w:r>
            </w:hyperlink>
            <w:r w:rsidR="00530E19" w:rsidRPr="005809A7">
              <w:rPr>
                <w:color w:val="404040" w:themeColor="text1" w:themeTint="BF"/>
                <w:sz w:val="17"/>
                <w:szCs w:val="17"/>
              </w:rPr>
              <w:t xml:space="preserve"> data on intended and actual destinations</w:t>
            </w:r>
          </w:p>
          <w:p w14:paraId="246D3EB6" w14:textId="4F0189D3" w:rsidR="00530E19" w:rsidRPr="005809A7" w:rsidRDefault="00783F5D" w:rsidP="00A66D25">
            <w:pPr>
              <w:pStyle w:val="ListParagraph"/>
              <w:numPr>
                <w:ilvl w:val="0"/>
                <w:numId w:val="24"/>
              </w:numPr>
              <w:rPr>
                <w:color w:val="4472C4" w:themeColor="accent1"/>
                <w:sz w:val="17"/>
                <w:szCs w:val="17"/>
              </w:rPr>
            </w:pPr>
            <w:hyperlink r:id="rId16" w:history="1">
              <w:r w:rsidR="00F45D9C" w:rsidRPr="005809A7">
                <w:rPr>
                  <w:rStyle w:val="Hyperlink"/>
                  <w:color w:val="4472C4" w:themeColor="accent1"/>
                  <w:sz w:val="17"/>
                  <w:szCs w:val="17"/>
                </w:rPr>
                <w:t>Published DfE destinations measures for 1, 3 and 5 years after Key Stage 4 and for post-18</w:t>
              </w:r>
            </w:hyperlink>
          </w:p>
        </w:tc>
      </w:tr>
    </w:tbl>
    <w:p w14:paraId="2F18CAB9" w14:textId="5FB1F12B" w:rsidR="00C31496" w:rsidRDefault="00C31496" w:rsidP="00C31496">
      <w:pPr>
        <w:ind w:left="720"/>
      </w:pPr>
    </w:p>
    <w:p w14:paraId="6ECB069B" w14:textId="118D83FE" w:rsidR="00530E19" w:rsidRPr="009A366B" w:rsidRDefault="00530E19" w:rsidP="00C31496">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Feedback</w:t>
      </w:r>
    </w:p>
    <w:p w14:paraId="7D0D5341" w14:textId="77777777" w:rsidR="00C31496" w:rsidRPr="009A366B" w:rsidRDefault="00C31496" w:rsidP="00C31496">
      <w:pPr>
        <w:pStyle w:val="ListParagraph"/>
        <w:rPr>
          <w:rFonts w:asciiTheme="minorHAnsi" w:hAnsiTheme="minorHAnsi"/>
          <w:b/>
          <w:bCs/>
          <w:color w:val="00A8A8"/>
          <w:sz w:val="28"/>
          <w:szCs w:val="28"/>
        </w:rPr>
      </w:pPr>
    </w:p>
    <w:p w14:paraId="3470E0FA" w14:textId="69739635" w:rsidR="00C31496"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312E8D2F"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Feedback is the most light-touch form of impact evidence.</w:t>
      </w:r>
    </w:p>
    <w:p w14:paraId="61EB1DC3"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When collected during or soon after the end of an activity, it provides a snapshot insight into how students reacted to the activity and can be useful for understanding how engaged they were, how much they enjoyed it, how relevant and useful they found it, and what they plan to do as a result. </w:t>
      </w:r>
    </w:p>
    <w:p w14:paraId="13E1ABF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Gathering feedback is a good way to capture the different perspectives of those involved in an activity and creating a rounded picture.</w:t>
      </w:r>
    </w:p>
    <w:p w14:paraId="538DF7D1" w14:textId="4153FA50"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Gatsby Benchmark 1 requires Careers Leaders to </w:t>
      </w:r>
      <w:r w:rsidR="00C31496" w:rsidRPr="009A366B">
        <w:rPr>
          <w:color w:val="404040" w:themeColor="text1" w:themeTint="BF"/>
          <w:sz w:val="24"/>
          <w:szCs w:val="24"/>
        </w:rPr>
        <w:t>consider</w:t>
      </w:r>
      <w:r w:rsidRPr="009A366B">
        <w:rPr>
          <w:color w:val="404040" w:themeColor="text1" w:themeTint="BF"/>
          <w:sz w:val="24"/>
          <w:szCs w:val="24"/>
        </w:rPr>
        <w:t xml:space="preserve"> feedback on the careers programme from students, teachers, </w:t>
      </w:r>
      <w:r w:rsidR="00C31496" w:rsidRPr="009A366B">
        <w:rPr>
          <w:color w:val="404040" w:themeColor="text1" w:themeTint="BF"/>
          <w:sz w:val="24"/>
          <w:szCs w:val="24"/>
        </w:rPr>
        <w:t>employers,</w:t>
      </w:r>
      <w:r w:rsidRPr="009A366B">
        <w:rPr>
          <w:color w:val="404040" w:themeColor="text1" w:themeTint="BF"/>
          <w:sz w:val="24"/>
          <w:szCs w:val="24"/>
        </w:rPr>
        <w:t xml:space="preserve"> and parents/carers. This could involve combining feedback on individual activities (for example, where an employer delivers </w:t>
      </w:r>
      <w:r w:rsidR="00370430" w:rsidRPr="009A366B">
        <w:rPr>
          <w:color w:val="404040" w:themeColor="text1" w:themeTint="BF"/>
          <w:sz w:val="24"/>
          <w:szCs w:val="24"/>
        </w:rPr>
        <w:t>careers</w:t>
      </w:r>
      <w:r w:rsidRPr="009A366B">
        <w:rPr>
          <w:color w:val="404040" w:themeColor="text1" w:themeTint="BF"/>
          <w:sz w:val="24"/>
          <w:szCs w:val="24"/>
        </w:rPr>
        <w:t xml:space="preserve"> talk) or for reflective views on the progressive career programme as a whole.</w:t>
      </w:r>
    </w:p>
    <w:p w14:paraId="086900C5" w14:textId="09344602" w:rsidR="00530E19" w:rsidRDefault="00530E19" w:rsidP="00530E19">
      <w:pPr>
        <w:rPr>
          <w:color w:val="404040" w:themeColor="text1" w:themeTint="BF"/>
          <w:sz w:val="24"/>
          <w:szCs w:val="24"/>
        </w:rPr>
      </w:pPr>
      <w:r w:rsidRPr="009A366B">
        <w:rPr>
          <w:color w:val="404040" w:themeColor="text1" w:themeTint="BF"/>
          <w:sz w:val="24"/>
          <w:szCs w:val="24"/>
        </w:rPr>
        <w:t xml:space="preserve">Feedback evidence usually focuses on opinions, </w:t>
      </w:r>
      <w:r w:rsidR="00C31496" w:rsidRPr="009A366B">
        <w:rPr>
          <w:color w:val="404040" w:themeColor="text1" w:themeTint="BF"/>
          <w:sz w:val="24"/>
          <w:szCs w:val="24"/>
        </w:rPr>
        <w:t>perceptions,</w:t>
      </w:r>
      <w:r w:rsidRPr="009A366B">
        <w:rPr>
          <w:color w:val="404040" w:themeColor="text1" w:themeTint="BF"/>
          <w:sz w:val="24"/>
          <w:szCs w:val="24"/>
        </w:rPr>
        <w:t xml:space="preserve"> and attitudes. Other forms of evidence are needed to capture actions such as choice of pathway, research into careers or skill development.</w:t>
      </w:r>
    </w:p>
    <w:p w14:paraId="356E6C1B" w14:textId="77777777" w:rsidR="00263F38" w:rsidRPr="009A366B" w:rsidRDefault="00263F38" w:rsidP="00530E19">
      <w:pPr>
        <w:rPr>
          <w:color w:val="404040" w:themeColor="text1" w:themeTint="BF"/>
          <w:sz w:val="24"/>
          <w:szCs w:val="24"/>
        </w:rPr>
      </w:pPr>
    </w:p>
    <w:p w14:paraId="47515FCE" w14:textId="77777777" w:rsidR="00B259FE" w:rsidRPr="009A366B" w:rsidRDefault="00B259FE" w:rsidP="00530E19">
      <w:pPr>
        <w:rPr>
          <w:color w:val="404040" w:themeColor="text1" w:themeTint="BF"/>
          <w:sz w:val="24"/>
          <w:szCs w:val="24"/>
        </w:rPr>
      </w:pPr>
    </w:p>
    <w:p w14:paraId="2BB30901" w14:textId="77777777" w:rsidR="00EA0CB6" w:rsidRDefault="00EA0CB6" w:rsidP="00530E19">
      <w:pPr>
        <w:rPr>
          <w:b/>
          <w:bCs/>
          <w:color w:val="404040" w:themeColor="text1" w:themeTint="BF"/>
          <w:sz w:val="28"/>
          <w:szCs w:val="28"/>
        </w:rPr>
      </w:pPr>
    </w:p>
    <w:p w14:paraId="3F4F3200" w14:textId="439AFB9A"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feedback data?</w:t>
      </w:r>
    </w:p>
    <w:p w14:paraId="5C3DF8D3" w14:textId="13A610B5" w:rsidR="00530E19" w:rsidRPr="009A366B" w:rsidRDefault="00530E19" w:rsidP="00530E19">
      <w:pPr>
        <w:rPr>
          <w:color w:val="404040" w:themeColor="text1" w:themeTint="BF"/>
          <w:sz w:val="24"/>
          <w:szCs w:val="24"/>
        </w:rPr>
      </w:pPr>
      <w:r w:rsidRPr="009A366B">
        <w:rPr>
          <w:color w:val="404040" w:themeColor="text1" w:themeTint="BF"/>
          <w:sz w:val="24"/>
          <w:szCs w:val="24"/>
        </w:rPr>
        <w:t>Collecting feedback can be quick and creative. The time invested by you as the Careers Leader as well as by those providing feedback should be proportionate to the activity and the use you’ll make of the resulting evidence.</w:t>
      </w:r>
    </w:p>
    <w:p w14:paraId="507F93CA" w14:textId="53BFAD42" w:rsidR="00530E19" w:rsidRDefault="00530E19" w:rsidP="00530E19">
      <w:pPr>
        <w:rPr>
          <w:color w:val="404040" w:themeColor="text1" w:themeTint="BF"/>
          <w:sz w:val="24"/>
          <w:szCs w:val="24"/>
        </w:rPr>
      </w:pPr>
      <w:r w:rsidRPr="009A366B">
        <w:rPr>
          <w:color w:val="404040" w:themeColor="text1" w:themeTint="BF"/>
          <w:sz w:val="24"/>
          <w:szCs w:val="24"/>
        </w:rPr>
        <w:t>The approaches below can be useful for keeping students engaged in an activity as well as for gathering feedback.</w:t>
      </w:r>
    </w:p>
    <w:p w14:paraId="7B669B3C" w14:textId="521B4203" w:rsidR="00283938" w:rsidRPr="00283938" w:rsidRDefault="00783F5D" w:rsidP="00530E19">
      <w:pPr>
        <w:rPr>
          <w:b/>
          <w:bCs/>
          <w:color w:val="404040" w:themeColor="text1" w:themeTint="BF"/>
          <w:sz w:val="24"/>
          <w:szCs w:val="24"/>
        </w:rPr>
      </w:pPr>
      <w:hyperlink r:id="rId17" w:history="1">
        <w:r w:rsidR="00283938" w:rsidRPr="00283938">
          <w:rPr>
            <w:rStyle w:val="Hyperlink"/>
            <w:b/>
            <w:bCs/>
            <w:sz w:val="24"/>
            <w:szCs w:val="24"/>
          </w:rPr>
          <w:t>Compass+</w:t>
        </w:r>
      </w:hyperlink>
    </w:p>
    <w:p w14:paraId="4EB58B7F" w14:textId="3665D362" w:rsidR="00530E19" w:rsidRPr="009A366B" w:rsidRDefault="00EA0CB6" w:rsidP="00530E19">
      <w:r w:rsidRPr="009A366B">
        <w:rPr>
          <w:noProof/>
          <w:color w:val="2B579A"/>
          <w:shd w:val="clear" w:color="auto" w:fill="E6E6E6"/>
        </w:rPr>
        <mc:AlternateContent>
          <mc:Choice Requires="wps">
            <w:drawing>
              <wp:anchor distT="45720" distB="45720" distL="114300" distR="114300" simplePos="0" relativeHeight="251658240" behindDoc="0" locked="0" layoutInCell="1" allowOverlap="1" wp14:anchorId="52312A82" wp14:editId="2607CFB2">
                <wp:simplePos x="0" y="0"/>
                <wp:positionH relativeFrom="margin">
                  <wp:posOffset>757555</wp:posOffset>
                </wp:positionH>
                <wp:positionV relativeFrom="paragraph">
                  <wp:posOffset>304800</wp:posOffset>
                </wp:positionV>
                <wp:extent cx="5861685" cy="101854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018540"/>
                        </a:xfrm>
                        <a:prstGeom prst="rect">
                          <a:avLst/>
                        </a:prstGeom>
                        <a:solidFill>
                          <a:srgbClr val="FFFFFF"/>
                        </a:solidFill>
                        <a:ln w="9525">
                          <a:solidFill>
                            <a:srgbClr val="00A8A8"/>
                          </a:solidFill>
                          <a:miter lim="800000"/>
                          <a:headEnd/>
                          <a:tailEnd/>
                        </a:ln>
                      </wps:spPr>
                      <wps:txbx>
                        <w:txbxContent>
                          <w:p w14:paraId="75F34F09" w14:textId="4BAE9925" w:rsidR="00741359" w:rsidRPr="00D3705C" w:rsidRDefault="00741359" w:rsidP="00741359">
                            <w:pPr>
                              <w:rPr>
                                <w:rFonts w:cstheme="minorHAnsi"/>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 xml:space="preserve">Refer to the </w:t>
                            </w:r>
                            <w:hyperlink r:id="rId18" w:history="1">
                              <w:r w:rsidRPr="00D3705C">
                                <w:rPr>
                                  <w:rStyle w:val="Hyperlink"/>
                                  <w:rFonts w:cstheme="minorHAnsi"/>
                                </w:rPr>
                                <w:t>Evaluation Guide for Careers Activities and Programmes</w:t>
                              </w:r>
                            </w:hyperlink>
                          </w:p>
                          <w:p w14:paraId="7B4C9484" w14:textId="1EE1899E" w:rsidR="00530E19" w:rsidRPr="00C31496" w:rsidRDefault="00741359" w:rsidP="00530E19">
                            <w:pPr>
                              <w:rPr>
                                <w:rFonts w:ascii="Lato" w:hAnsi="Lato"/>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Developed by the team in Swindon and Wiltshire Careers Hub, this resource supports Careers Leaders with approaches to feedback and effective evaluation of their careers programme. There is a longer guide for Careers Leader available along with a shorter quick referenc</w:t>
                            </w:r>
                            <w:r w:rsidRPr="00D3705C">
                              <w:rPr>
                                <w:rFonts w:cstheme="minorHAnsi"/>
                                <w:b/>
                                <w:bCs/>
                                <w14:textOutline w14:w="9525" w14:cap="rnd" w14:cmpd="sng" w14:algn="ctr">
                                  <w14:noFill/>
                                  <w14:prstDash w14:val="solid"/>
                                  <w14:bevel/>
                                </w14:textOutline>
                              </w:rPr>
                              <w:t>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12A82" id="_x0000_t202" coordsize="21600,21600" o:spt="202" path="m,l,21600r21600,l21600,xe">
                <v:stroke joinstyle="miter"/>
                <v:path gradientshapeok="t" o:connecttype="rect"/>
              </v:shapetype>
              <v:shape id="Text Box 2" o:spid="_x0000_s1026" type="#_x0000_t202" style="position:absolute;margin-left:59.65pt;margin-top:24pt;width:461.55pt;height:8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" strokecolor="#00a8a8">
                <v:textbox>
                  <w:txbxContent>
                    <w:p w14:paraId="75F34F09" w14:textId="4BAE9925" w:rsidR="00741359" w:rsidRPr="00D3705C" w:rsidRDefault="00741359" w:rsidP="00741359">
                      <w:pPr>
                        <w:rPr>
                          <w:rFonts w:cstheme="minorHAnsi"/>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 xml:space="preserve">Refer to the </w:t>
                      </w:r>
                      <w:hyperlink r:id="rId19" w:history="1">
                        <w:r w:rsidRPr="00D3705C">
                          <w:rPr>
                            <w:rStyle w:val="Hyperlink"/>
                            <w:rFonts w:cstheme="minorHAnsi"/>
                          </w:rPr>
                          <w:t>Evaluation Guide for Careers Activities and Programmes</w:t>
                        </w:r>
                      </w:hyperlink>
                    </w:p>
                    <w:p w14:paraId="7B4C9484" w14:textId="1EE1899E" w:rsidR="00530E19" w:rsidRPr="00C31496" w:rsidRDefault="00741359" w:rsidP="00530E19">
                      <w:pPr>
                        <w:rPr>
                          <w:rFonts w:ascii="Lato" w:hAnsi="Lato"/>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Developed by the team in Swindon and Wiltshire Careers Hub, this resource supports Careers Leaders with approaches to feedback and effective evaluation of their careers programme. There is a longer guide for Careers Leader available along with a shorter quick referenc</w:t>
                      </w:r>
                      <w:r w:rsidRPr="00D3705C">
                        <w:rPr>
                          <w:rFonts w:cstheme="minorHAnsi"/>
                          <w:b/>
                          <w:bCs/>
                          <w14:textOutline w14:w="9525" w14:cap="rnd" w14:cmpd="sng" w14:algn="ctr">
                            <w14:noFill/>
                            <w14:prstDash w14:val="solid"/>
                            <w14:bevel/>
                          </w14:textOutline>
                        </w:rPr>
                        <w:t>e version</w:t>
                      </w:r>
                    </w:p>
                  </w:txbxContent>
                </v:textbox>
                <w10:wrap type="square" anchorx="margin"/>
              </v:shape>
            </w:pict>
          </mc:Fallback>
        </mc:AlternateContent>
      </w:r>
      <w:r w:rsidR="00530E19" w:rsidRPr="009A366B">
        <w:rPr>
          <w:color w:val="404040" w:themeColor="text1" w:themeTint="BF"/>
          <w:sz w:val="24"/>
          <w:szCs w:val="24"/>
        </w:rPr>
        <w:t>Vary the approaches used to retain interest and avoid the fatigue that comes with over-use</w:t>
      </w:r>
      <w:r w:rsidR="065D8805" w:rsidRPr="4B5CB2A0">
        <w:rPr>
          <w:color w:val="404040" w:themeColor="text1" w:themeTint="BF"/>
          <w:sz w:val="24"/>
          <w:szCs w:val="24"/>
        </w:rPr>
        <w:t>.</w:t>
      </w:r>
    </w:p>
    <w:p w14:paraId="7E22A7A6" w14:textId="524A6A64" w:rsidR="00530E19" w:rsidRPr="009A366B" w:rsidRDefault="00C31496" w:rsidP="00530E19">
      <w:pPr>
        <w:rPr>
          <w:color w:val="FF0000"/>
        </w:rPr>
      </w:pPr>
      <w:r w:rsidRPr="009A366B">
        <w:rPr>
          <w:noProof/>
          <w:color w:val="FF0000"/>
        </w:rPr>
        <w:drawing>
          <wp:inline distT="0" distB="0" distL="0" distR="0" wp14:anchorId="0D189FFD" wp14:editId="7C1838C5">
            <wp:extent cx="622300" cy="6223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p>
    <w:p w14:paraId="50017C32" w14:textId="77777777" w:rsidR="00530E19" w:rsidRPr="009A366B" w:rsidRDefault="00530E19" w:rsidP="00530E19"/>
    <w:p w14:paraId="64066679" w14:textId="77777777" w:rsidR="00530E19" w:rsidRPr="009A366B" w:rsidRDefault="00530E19" w:rsidP="00530E19"/>
    <w:p w14:paraId="649627C4" w14:textId="70CF39FC" w:rsidR="00530E19" w:rsidRPr="009A366B" w:rsidRDefault="00530E19" w:rsidP="00C31496">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Feedback surveys</w:t>
      </w:r>
    </w:p>
    <w:p w14:paraId="6D02AF20" w14:textId="1DAED9C4" w:rsidR="00B259FE" w:rsidRPr="009A366B" w:rsidRDefault="00263F38" w:rsidP="00530E19">
      <w:pPr>
        <w:rPr>
          <w:color w:val="404040" w:themeColor="text1" w:themeTint="BF"/>
          <w:sz w:val="24"/>
          <w:szCs w:val="24"/>
        </w:rPr>
      </w:pPr>
      <w:r>
        <w:rPr>
          <w:color w:val="404040" w:themeColor="text1" w:themeTint="BF"/>
          <w:sz w:val="24"/>
          <w:szCs w:val="24"/>
        </w:rPr>
        <w:br/>
      </w:r>
      <w:r w:rsidR="00530E19" w:rsidRPr="009A366B">
        <w:rPr>
          <w:color w:val="404040" w:themeColor="text1" w:themeTint="BF"/>
          <w:sz w:val="24"/>
          <w:szCs w:val="24"/>
        </w:rPr>
        <w:t>Surveys are valuable for quantifying feedback – understand how many or what proportion of participants reacted in different ways to an activity or the careers programme. They are valuable for gathering frank and honest feedback (anonymity can be helpful for this) and when the audience is remote or dispersed (such as parents/carers).</w:t>
      </w:r>
    </w:p>
    <w:p w14:paraId="2E174E50"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Surveys are most valuable when:</w:t>
      </w:r>
    </w:p>
    <w:p w14:paraId="4F241DC4"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Questions are clear, short, targeted at the audience and consistently interpreted (see guidance on questionnaire design here)</w:t>
      </w:r>
    </w:p>
    <w:p w14:paraId="3796C5B7"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Response is high (so you can be sure your data are representative)</w:t>
      </w:r>
    </w:p>
    <w:p w14:paraId="2E2BCB55"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You know the range of possible responses and can provide closed questions with answer options</w:t>
      </w:r>
    </w:p>
    <w:p w14:paraId="61244B27" w14:textId="71D6C093" w:rsidR="00530E19" w:rsidRPr="009A366B" w:rsidRDefault="00530E19" w:rsidP="00C31496">
      <w:pPr>
        <w:pStyle w:val="ListParagraph"/>
        <w:numPr>
          <w:ilvl w:val="0"/>
          <w:numId w:val="9"/>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Used sparingly (to avoid survey fatigue)</w:t>
      </w:r>
    </w:p>
    <w:p w14:paraId="56A6ACEE" w14:textId="77777777" w:rsidR="00C31496" w:rsidRPr="009A366B" w:rsidRDefault="00C31496" w:rsidP="00C31496">
      <w:pPr>
        <w:pStyle w:val="ListParagraph"/>
        <w:rPr>
          <w:rFonts w:asciiTheme="minorHAnsi" w:hAnsiTheme="minorHAnsi"/>
          <w:color w:val="404040" w:themeColor="text1" w:themeTint="BF"/>
          <w:sz w:val="28"/>
          <w:szCs w:val="28"/>
        </w:rPr>
      </w:pPr>
    </w:p>
    <w:p w14:paraId="5B74290A" w14:textId="77E0F743" w:rsidR="001F4706" w:rsidRPr="001F4706" w:rsidRDefault="001F4706" w:rsidP="001F4706">
      <w:pPr>
        <w:rPr>
          <w:color w:val="404040" w:themeColor="text1" w:themeTint="BF"/>
          <w:sz w:val="24"/>
          <w:szCs w:val="24"/>
        </w:rPr>
      </w:pPr>
      <w:r w:rsidRPr="001F4706">
        <w:rPr>
          <w:color w:val="404040" w:themeColor="text1" w:themeTint="BF"/>
          <w:sz w:val="24"/>
          <w:szCs w:val="24"/>
        </w:rPr>
        <w:t xml:space="preserve">To support Careers Leaders with impact evaluation, we have created a </w:t>
      </w:r>
      <w:hyperlink r:id="rId21" w:history="1">
        <w:r w:rsidRPr="00A31036">
          <w:rPr>
            <w:rStyle w:val="Hyperlink"/>
            <w:sz w:val="24"/>
            <w:szCs w:val="24"/>
          </w:rPr>
          <w:t>guidance document</w:t>
        </w:r>
      </w:hyperlink>
      <w:r w:rsidRPr="001F4706">
        <w:rPr>
          <w:color w:val="404040" w:themeColor="text1" w:themeTint="BF"/>
          <w:sz w:val="24"/>
          <w:szCs w:val="24"/>
        </w:rPr>
        <w:t xml:space="preserve"> on ‘How to write your own survey questions’</w:t>
      </w:r>
      <w:r>
        <w:rPr>
          <w:color w:val="404040" w:themeColor="text1" w:themeTint="BF"/>
          <w:sz w:val="24"/>
          <w:szCs w:val="24"/>
        </w:rPr>
        <w:t xml:space="preserve"> with </w:t>
      </w:r>
      <w:r w:rsidR="00A31036" w:rsidRPr="00A31036">
        <w:rPr>
          <w:color w:val="404040" w:themeColor="text1" w:themeTint="BF"/>
          <w:sz w:val="24"/>
          <w:szCs w:val="24"/>
        </w:rPr>
        <w:t>example survey templates that Careers Leaders can use when collecting feedback and programme evaluation insight from a range of stakeholders</w:t>
      </w:r>
      <w:r w:rsidRPr="001F4706">
        <w:rPr>
          <w:color w:val="404040" w:themeColor="text1" w:themeTint="BF"/>
          <w:sz w:val="24"/>
          <w:szCs w:val="24"/>
        </w:rPr>
        <w:t>. </w:t>
      </w:r>
    </w:p>
    <w:p w14:paraId="21DD20F1" w14:textId="77777777" w:rsidR="00096954" w:rsidRPr="009A366B" w:rsidRDefault="00096954" w:rsidP="00530E19">
      <w:pPr>
        <w:rPr>
          <w:color w:val="404040" w:themeColor="text1" w:themeTint="BF"/>
          <w:sz w:val="28"/>
          <w:szCs w:val="28"/>
        </w:rPr>
      </w:pPr>
    </w:p>
    <w:p w14:paraId="61704FCF" w14:textId="77777777" w:rsidR="00EA0CB6" w:rsidRDefault="00EA0CB6" w:rsidP="00530E19">
      <w:pPr>
        <w:rPr>
          <w:b/>
          <w:bCs/>
          <w:color w:val="404040" w:themeColor="text1" w:themeTint="BF"/>
          <w:sz w:val="28"/>
          <w:szCs w:val="28"/>
        </w:rPr>
      </w:pPr>
    </w:p>
    <w:p w14:paraId="3E245FC2" w14:textId="4B06DD9B"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Feedback from parents</w:t>
      </w:r>
    </w:p>
    <w:p w14:paraId="147A7B9B"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Gathering feedback from parents can be challenging. Options to consider are:</w:t>
      </w:r>
    </w:p>
    <w:p w14:paraId="39E4B2E4" w14:textId="0935B150"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Incorporating some </w:t>
      </w:r>
      <w:r w:rsidR="00C31496" w:rsidRPr="009A366B">
        <w:rPr>
          <w:rFonts w:asciiTheme="minorHAnsi" w:hAnsiTheme="minorHAnsi"/>
          <w:color w:val="404040" w:themeColor="text1" w:themeTint="BF"/>
          <w:sz w:val="24"/>
          <w:szCs w:val="24"/>
        </w:rPr>
        <w:t>high-level</w:t>
      </w:r>
      <w:r w:rsidRPr="009A366B">
        <w:rPr>
          <w:rFonts w:asciiTheme="minorHAnsi" w:hAnsiTheme="minorHAnsi"/>
          <w:color w:val="404040" w:themeColor="text1" w:themeTint="BF"/>
          <w:sz w:val="24"/>
          <w:szCs w:val="24"/>
        </w:rPr>
        <w:t xml:space="preserve"> questions in a school or college’s annual survey of parents/carers.</w:t>
      </w:r>
    </w:p>
    <w:p w14:paraId="15AF968B"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Using QR codes and quick methods such as putting traffic light cards in a box at the end of an event.</w:t>
      </w:r>
    </w:p>
    <w:p w14:paraId="0C2F1170"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Using polling tools within Teams and Zoom for online events.</w:t>
      </w:r>
    </w:p>
    <w:p w14:paraId="04BCBF59"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Informal chats and requests for feedback when in touch with parents, e.g., in EHCP reviews or at parents evening.</w:t>
      </w:r>
    </w:p>
    <w:p w14:paraId="58055BA6" w14:textId="77777777" w:rsidR="00530E19" w:rsidRPr="009A366B" w:rsidRDefault="00530E19" w:rsidP="00530E19"/>
    <w:p w14:paraId="6099D07C"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Informal data collection</w:t>
      </w:r>
    </w:p>
    <w:p w14:paraId="07E0157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The methods above can be complemented with informal conversations in person, via email or as part of student council meetings or networking events. Remember to record and save so that we can review later in the year.</w:t>
      </w:r>
    </w:p>
    <w:p w14:paraId="3AA3553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can I use the evidence to evaluate my programme?</w:t>
      </w:r>
    </w:p>
    <w:p w14:paraId="2708C53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This is ‘real time’ information that you can use throughout the year to form a quick judgement on how well an activity was received by all involved, how well it met the needs of students and what adaptations might be needed as a result.</w:t>
      </w:r>
    </w:p>
    <w:p w14:paraId="1681DB12" w14:textId="55AD641F"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Consider the full range of perspectives and reasons for the responses. Student engagement is generally a good indicator of the potential value of an </w:t>
      </w:r>
      <w:r w:rsidR="009E6995" w:rsidRPr="009A366B">
        <w:rPr>
          <w:color w:val="404040" w:themeColor="text1" w:themeTint="BF"/>
          <w:sz w:val="24"/>
          <w:szCs w:val="24"/>
        </w:rPr>
        <w:t>activity but</w:t>
      </w:r>
      <w:r w:rsidRPr="009A366B">
        <w:rPr>
          <w:color w:val="404040" w:themeColor="text1" w:themeTint="BF"/>
          <w:sz w:val="24"/>
          <w:szCs w:val="24"/>
        </w:rPr>
        <w:t xml:space="preserve"> remember that important learning can take place despite an activity being hard or tiring. </w:t>
      </w:r>
    </w:p>
    <w:p w14:paraId="0EBDF518" w14:textId="087B1551"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Try to understand the reasons for responses so that you can </w:t>
      </w:r>
      <w:r w:rsidR="009E6995" w:rsidRPr="009A366B">
        <w:rPr>
          <w:color w:val="404040" w:themeColor="text1" w:themeTint="BF"/>
          <w:sz w:val="24"/>
          <w:szCs w:val="24"/>
        </w:rPr>
        <w:t>adjust</w:t>
      </w:r>
      <w:r w:rsidRPr="009A366B">
        <w:rPr>
          <w:color w:val="404040" w:themeColor="text1" w:themeTint="BF"/>
          <w:sz w:val="24"/>
          <w:szCs w:val="24"/>
        </w:rPr>
        <w:t xml:space="preserve"> accordingly. </w:t>
      </w:r>
    </w:p>
    <w:p w14:paraId="28704BFF" w14:textId="70C9B53F"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Make a note of responses and collate so that you can review by theme ahead of planning the programme for the following year. This collated evidence can help you to meeting Gatsby Benchmark 1 – </w:t>
      </w:r>
      <w:r w:rsidR="009E6995" w:rsidRPr="009A366B">
        <w:rPr>
          <w:color w:val="404040" w:themeColor="text1" w:themeTint="BF"/>
          <w:sz w:val="24"/>
          <w:szCs w:val="24"/>
        </w:rPr>
        <w:t>considering</w:t>
      </w:r>
      <w:r w:rsidRPr="009A366B">
        <w:rPr>
          <w:color w:val="404040" w:themeColor="text1" w:themeTint="BF"/>
          <w:sz w:val="24"/>
          <w:szCs w:val="24"/>
        </w:rPr>
        <w:t xml:space="preserve"> feedback on the careers programme.</w:t>
      </w:r>
    </w:p>
    <w:p w14:paraId="778F95BC" w14:textId="2F9C9F1A" w:rsidR="00EA0CB6" w:rsidRDefault="005B311F" w:rsidP="4071E65C">
      <w:pPr>
        <w:rPr>
          <w:color w:val="FF0000"/>
          <w:sz w:val="24"/>
          <w:szCs w:val="24"/>
        </w:rPr>
      </w:pPr>
      <w:r>
        <w:rPr>
          <w:noProof/>
        </w:rPr>
        <w:lastRenderedPageBreak/>
        <w:drawing>
          <wp:anchor distT="0" distB="0" distL="114300" distR="114300" simplePos="0" relativeHeight="251661312" behindDoc="0" locked="0" layoutInCell="1" allowOverlap="1" wp14:anchorId="75A5925A" wp14:editId="1D88B8B9">
            <wp:simplePos x="0" y="0"/>
            <wp:positionH relativeFrom="column">
              <wp:posOffset>3679190</wp:posOffset>
            </wp:positionH>
            <wp:positionV relativeFrom="paragraph">
              <wp:posOffset>5080</wp:posOffset>
            </wp:positionV>
            <wp:extent cx="6233794" cy="29091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33794" cy="2909104"/>
                    </a:xfrm>
                    <a:prstGeom prst="rect">
                      <a:avLst/>
                    </a:prstGeom>
                  </pic:spPr>
                </pic:pic>
              </a:graphicData>
            </a:graphic>
            <wp14:sizeRelH relativeFrom="page">
              <wp14:pctWidth>0</wp14:pctWidth>
            </wp14:sizeRelH>
            <wp14:sizeRelV relativeFrom="page">
              <wp14:pctHeight>0</wp14:pctHeight>
            </wp14:sizeRelV>
          </wp:anchor>
        </w:drawing>
      </w:r>
      <w:r w:rsidR="00765CC4">
        <w:rPr>
          <w:noProof/>
        </w:rPr>
        <w:drawing>
          <wp:inline distT="0" distB="0" distL="0" distR="0" wp14:anchorId="7654B5FC" wp14:editId="26907639">
            <wp:extent cx="3541854" cy="5537753"/>
            <wp:effectExtent l="0" t="0" r="1905"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43630" cy="5540530"/>
                    </a:xfrm>
                    <a:prstGeom prst="rect">
                      <a:avLst/>
                    </a:prstGeom>
                  </pic:spPr>
                </pic:pic>
              </a:graphicData>
            </a:graphic>
          </wp:inline>
        </w:drawing>
      </w:r>
    </w:p>
    <w:p w14:paraId="7B4E0045" w14:textId="672EFACD" w:rsidR="242EA78D" w:rsidRDefault="007B4AA3" w:rsidP="00D3705C">
      <w:pPr>
        <w:jc w:val="right"/>
      </w:pPr>
      <w:r>
        <w:rPr>
          <w:noProof/>
        </w:rPr>
        <w:lastRenderedPageBreak/>
        <mc:AlternateContent>
          <mc:Choice Requires="wps">
            <w:drawing>
              <wp:anchor distT="0" distB="0" distL="114300" distR="114300" simplePos="0" relativeHeight="251666432" behindDoc="0" locked="0" layoutInCell="1" allowOverlap="1" wp14:anchorId="2A9BAB5F" wp14:editId="22516B08">
                <wp:simplePos x="0" y="0"/>
                <wp:positionH relativeFrom="column">
                  <wp:posOffset>-88900</wp:posOffset>
                </wp:positionH>
                <wp:positionV relativeFrom="paragraph">
                  <wp:posOffset>28575</wp:posOffset>
                </wp:positionV>
                <wp:extent cx="9871710" cy="22987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9871710" cy="2298700"/>
                        </a:xfrm>
                        <a:prstGeom prst="rect">
                          <a:avLst/>
                        </a:prstGeom>
                        <a:solidFill>
                          <a:srgbClr val="00A8A8"/>
                        </a:solidFill>
                        <a:ln w="6350">
                          <a:solidFill>
                            <a:srgbClr val="00A8A8"/>
                          </a:solidFill>
                        </a:ln>
                      </wps:spPr>
                      <wps:txbx>
                        <w:txbxContent>
                          <w:p w14:paraId="70037BE6" w14:textId="77777777" w:rsidR="007B4AA3" w:rsidRPr="007B4AA3" w:rsidRDefault="007B4AA3" w:rsidP="00A5479A">
                            <w:pPr>
                              <w:ind w:firstLine="360"/>
                              <w:rPr>
                                <w:b/>
                                <w:bCs/>
                                <w:color w:val="FFFFFF" w:themeColor="background1"/>
                                <w:sz w:val="28"/>
                                <w:szCs w:val="28"/>
                              </w:rPr>
                            </w:pPr>
                            <w:r w:rsidRPr="007B4AA3">
                              <w:rPr>
                                <w:b/>
                                <w:bCs/>
                                <w:color w:val="FFFFFF" w:themeColor="background1"/>
                                <w:sz w:val="28"/>
                                <w:szCs w:val="28"/>
                              </w:rPr>
                              <w:t>Evaluating the Evidence: Example Reflective Questions (Feedback)</w:t>
                            </w:r>
                          </w:p>
                          <w:p w14:paraId="50B50B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went well?</w:t>
                            </w:r>
                          </w:p>
                          <w:p w14:paraId="4C91E0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improvements could be made to careers programme?</w:t>
                            </w:r>
                          </w:p>
                          <w:p w14:paraId="13692C6E"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What were the key positive / negatives from stakeholders including students, parents/carers, employers, staff, etc?</w:t>
                            </w:r>
                          </w:p>
                          <w:p w14:paraId="44DA2E49"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 xml:space="preserve">What was the quality of the employer engagement activities? </w:t>
                            </w:r>
                          </w:p>
                          <w:p w14:paraId="012E7473"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How could the quality of employer engagement be improved?</w:t>
                            </w:r>
                          </w:p>
                          <w:p w14:paraId="6E360FA7" w14:textId="77777777" w:rsidR="007B4AA3" w:rsidRPr="007B4AA3" w:rsidRDefault="007B4AA3" w:rsidP="00C40346">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Which employers might you re-engage next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BAB5F" id="Text Box 14" o:spid="_x0000_s1027" type="#_x0000_t202" style="position:absolute;left:0;text-align:left;margin-left:-7pt;margin-top:2.25pt;width:777.3pt;height:18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" fillcolor="#00a8a8" strokecolor="#00a8a8" strokeweight=".5pt">
                <v:textbox>
                  <w:txbxContent>
                    <w:p w14:paraId="70037BE6" w14:textId="77777777" w:rsidR="007B4AA3" w:rsidRPr="007B4AA3" w:rsidRDefault="007B4AA3" w:rsidP="00A5479A">
                      <w:pPr>
                        <w:ind w:firstLine="360"/>
                        <w:rPr>
                          <w:b/>
                          <w:bCs/>
                          <w:color w:val="FFFFFF" w:themeColor="background1"/>
                          <w:sz w:val="28"/>
                          <w:szCs w:val="28"/>
                        </w:rPr>
                      </w:pPr>
                      <w:r w:rsidRPr="007B4AA3">
                        <w:rPr>
                          <w:b/>
                          <w:bCs/>
                          <w:color w:val="FFFFFF" w:themeColor="background1"/>
                          <w:sz w:val="28"/>
                          <w:szCs w:val="28"/>
                        </w:rPr>
                        <w:t>Evaluating the Evidence: Example Reflective Questions (Feedback)</w:t>
                      </w:r>
                    </w:p>
                    <w:p w14:paraId="50B50B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went well?</w:t>
                      </w:r>
                    </w:p>
                    <w:p w14:paraId="4C91E0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improvements could be made to careers programme?</w:t>
                      </w:r>
                    </w:p>
                    <w:p w14:paraId="13692C6E"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What were the key positive / negatives from stakeholders including students, parents/carers, employers, staff, etc?</w:t>
                      </w:r>
                    </w:p>
                    <w:p w14:paraId="44DA2E49"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 xml:space="preserve">What was the quality of the employer engagement activities? </w:t>
                      </w:r>
                    </w:p>
                    <w:p w14:paraId="012E7473"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How could the quality of employer engagement be improved?</w:t>
                      </w:r>
                    </w:p>
                    <w:p w14:paraId="6E360FA7" w14:textId="77777777" w:rsidR="007B4AA3" w:rsidRPr="007B4AA3" w:rsidRDefault="007B4AA3" w:rsidP="00C40346">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Which employers might you re-engage next year?</w:t>
                      </w:r>
                    </w:p>
                  </w:txbxContent>
                </v:textbox>
              </v:shape>
            </w:pict>
          </mc:Fallback>
        </mc:AlternateContent>
      </w:r>
    </w:p>
    <w:p w14:paraId="227D7FDD" w14:textId="405A3D24" w:rsidR="00530E19" w:rsidRDefault="00530E19" w:rsidP="00530E19"/>
    <w:p w14:paraId="60E87002" w14:textId="6D1CFB25" w:rsidR="007B4AA3" w:rsidRDefault="007B4AA3" w:rsidP="00530E19"/>
    <w:p w14:paraId="26104F94" w14:textId="3372EBB4" w:rsidR="007B4AA3" w:rsidRDefault="007B4AA3" w:rsidP="00530E19"/>
    <w:p w14:paraId="069B8E69" w14:textId="18B2F776" w:rsidR="007B4AA3" w:rsidRDefault="007B4AA3" w:rsidP="00530E19"/>
    <w:p w14:paraId="24CC2EE1" w14:textId="482F2C61" w:rsidR="007B4AA3" w:rsidRDefault="007B4AA3" w:rsidP="00530E19"/>
    <w:p w14:paraId="54C65962" w14:textId="585FDDC4" w:rsidR="007B4AA3" w:rsidRDefault="007B4AA3" w:rsidP="00530E19"/>
    <w:p w14:paraId="70CB87E2" w14:textId="77777777" w:rsidR="007B4AA3" w:rsidRDefault="007B4AA3" w:rsidP="00530E19"/>
    <w:p w14:paraId="45D508A7" w14:textId="5E362C86" w:rsidR="00E26360" w:rsidRPr="009A366B" w:rsidRDefault="00E26360" w:rsidP="00530E19"/>
    <w:p w14:paraId="439EF91B" w14:textId="0A9D1FA2" w:rsidR="00530E19" w:rsidRPr="009A366B" w:rsidRDefault="00530E19" w:rsidP="009E6995">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Career knowledge and skills</w:t>
      </w:r>
    </w:p>
    <w:p w14:paraId="48D3498B" w14:textId="672829F4" w:rsidR="009E6995" w:rsidRPr="009A366B" w:rsidRDefault="009E6995" w:rsidP="009E6995">
      <w:pPr>
        <w:pStyle w:val="ListParagraph"/>
        <w:rPr>
          <w:rFonts w:asciiTheme="minorHAnsi" w:hAnsiTheme="minorHAnsi"/>
          <w:color w:val="404040" w:themeColor="text1" w:themeTint="BF"/>
          <w:sz w:val="28"/>
          <w:szCs w:val="28"/>
        </w:rPr>
      </w:pPr>
    </w:p>
    <w:p w14:paraId="44C76703" w14:textId="107E598D"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30C7AEA4" w14:textId="644932CE" w:rsidR="00530E19" w:rsidRPr="009A366B" w:rsidRDefault="00530E19" w:rsidP="00530E19">
      <w:pPr>
        <w:rPr>
          <w:color w:val="404040" w:themeColor="text1" w:themeTint="BF"/>
          <w:sz w:val="24"/>
          <w:szCs w:val="24"/>
        </w:rPr>
      </w:pPr>
      <w:r w:rsidRPr="009A366B">
        <w:rPr>
          <w:color w:val="404040" w:themeColor="text1" w:themeTint="BF"/>
          <w:sz w:val="24"/>
          <w:szCs w:val="24"/>
        </w:rPr>
        <w:t>Career knowledge and skills are the learning outcomes of career programmes. Similar to curriculum subjects, the delivery of careers education should be targeted at supporting students to develop specific knowledge and skills which is defined according to what is needed for a successful career. These are ‘proximal outcomes’ as they start to develop while a young person is in education, continue throughout life and are a stepping-stone towards education and employment outcomes.</w:t>
      </w:r>
    </w:p>
    <w:p w14:paraId="7783872B"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Frameworks</w:t>
      </w:r>
    </w:p>
    <w:p w14:paraId="0BE5624D" w14:textId="7A2269CE" w:rsidR="00530E19" w:rsidRPr="009A366B" w:rsidRDefault="00530E19" w:rsidP="00530E19">
      <w:pPr>
        <w:rPr>
          <w:color w:val="404040" w:themeColor="text1" w:themeTint="BF"/>
          <w:sz w:val="24"/>
          <w:szCs w:val="24"/>
        </w:rPr>
      </w:pPr>
      <w:r w:rsidRPr="009A366B">
        <w:rPr>
          <w:color w:val="404040" w:themeColor="text1" w:themeTint="BF"/>
          <w:sz w:val="24"/>
          <w:szCs w:val="24"/>
        </w:rPr>
        <w:t>The</w:t>
      </w:r>
      <w:r w:rsidR="00534CDB" w:rsidRPr="009A366B">
        <w:rPr>
          <w:color w:val="404040" w:themeColor="text1" w:themeTint="BF"/>
          <w:sz w:val="24"/>
          <w:szCs w:val="24"/>
        </w:rPr>
        <w:t xml:space="preserve"> </w:t>
      </w:r>
      <w:hyperlink r:id="rId24" w:anchor=":~:text=The%20project%20to%20redevelop%20the%20CDI%20Framework%20has,%26%20Enterprise%20Company%2C%20the%20PSHE%20Association%20and%20DfE." w:history="1">
        <w:r w:rsidR="00534CDB" w:rsidRPr="009A366B">
          <w:rPr>
            <w:rStyle w:val="Hyperlink"/>
            <w:color w:val="4472C4" w:themeColor="accent1"/>
            <w:sz w:val="24"/>
            <w:szCs w:val="24"/>
          </w:rPr>
          <w:t>CDI Career Development Framework</w:t>
        </w:r>
      </w:hyperlink>
      <w:r w:rsidR="00534CDB" w:rsidRPr="009A366B">
        <w:rPr>
          <w:color w:val="404040" w:themeColor="text1" w:themeTint="BF"/>
          <w:sz w:val="24"/>
          <w:szCs w:val="24"/>
        </w:rPr>
        <w:t xml:space="preserve"> </w:t>
      </w:r>
      <w:r w:rsidRPr="009A366B">
        <w:rPr>
          <w:color w:val="404040" w:themeColor="text1" w:themeTint="BF"/>
          <w:sz w:val="24"/>
          <w:szCs w:val="24"/>
        </w:rPr>
        <w:t xml:space="preserve">sets out </w:t>
      </w:r>
      <w:r w:rsidR="009E6995" w:rsidRPr="009A366B">
        <w:rPr>
          <w:color w:val="404040" w:themeColor="text1" w:themeTint="BF"/>
          <w:sz w:val="24"/>
          <w:szCs w:val="24"/>
        </w:rPr>
        <w:t>six</w:t>
      </w:r>
      <w:r w:rsidRPr="009A366B">
        <w:rPr>
          <w:color w:val="404040" w:themeColor="text1" w:themeTint="BF"/>
          <w:sz w:val="24"/>
          <w:szCs w:val="24"/>
        </w:rPr>
        <w:t xml:space="preserve"> learning areas that are linked to the intent of the Gatsby Benchmarks and align with the Quality in Careers Standard. Accompanying guidance articulates target learning outcomes at each key stage which can be used to plan careers activities and measure their success.</w:t>
      </w:r>
    </w:p>
    <w:p w14:paraId="79F8EA2D" w14:textId="77777777" w:rsidR="00530E19" w:rsidRPr="009A366B" w:rsidRDefault="00530E19" w:rsidP="00530E19">
      <w:r w:rsidRPr="009A366B">
        <w:rPr>
          <w:noProof/>
          <w:color w:val="2B579A"/>
          <w:shd w:val="clear" w:color="auto" w:fill="E6E6E6"/>
        </w:rPr>
        <w:lastRenderedPageBreak/>
        <w:drawing>
          <wp:inline distT="0" distB="0" distL="0" distR="0" wp14:anchorId="6C83FECB" wp14:editId="73B944DF">
            <wp:extent cx="9827128" cy="4294207"/>
            <wp:effectExtent l="0" t="0" r="3175"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pic:nvPicPr>
                  <pic:blipFill>
                    <a:blip r:embed="rId26"/>
                    <a:stretch>
                      <a:fillRect/>
                    </a:stretch>
                  </pic:blipFill>
                  <pic:spPr>
                    <a:xfrm>
                      <a:off x="0" y="0"/>
                      <a:ext cx="9827128" cy="4294207"/>
                    </a:xfrm>
                    <a:prstGeom prst="rect">
                      <a:avLst/>
                    </a:prstGeom>
                  </pic:spPr>
                </pic:pic>
              </a:graphicData>
            </a:graphic>
          </wp:inline>
        </w:drawing>
      </w:r>
    </w:p>
    <w:p w14:paraId="5D3CC81E" w14:textId="77777777" w:rsidR="00530E19" w:rsidRPr="009A366B" w:rsidRDefault="00530E19" w:rsidP="00530E19"/>
    <w:p w14:paraId="7FD605D4" w14:textId="21F502B8"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 </w:t>
      </w:r>
      <w:hyperlink r:id="rId27" w:history="1">
        <w:r w:rsidRPr="009A366B">
          <w:rPr>
            <w:rStyle w:val="Hyperlink"/>
            <w:color w:val="404040" w:themeColor="text1" w:themeTint="BF"/>
            <w:sz w:val="24"/>
            <w:szCs w:val="24"/>
          </w:rPr>
          <w:t>Universal Skills Builder Framework</w:t>
        </w:r>
      </w:hyperlink>
      <w:r w:rsidRPr="009A366B">
        <w:rPr>
          <w:color w:val="404040" w:themeColor="text1" w:themeTint="BF"/>
          <w:sz w:val="24"/>
          <w:szCs w:val="24"/>
        </w:rPr>
        <w:t xml:space="preserve"> supports the development of eight essential skills which are divided into sequential steps. The website provides tools and resources for educators, </w:t>
      </w:r>
      <w:r w:rsidR="000352D1" w:rsidRPr="009A366B">
        <w:rPr>
          <w:color w:val="404040" w:themeColor="text1" w:themeTint="BF"/>
          <w:sz w:val="24"/>
          <w:szCs w:val="24"/>
        </w:rPr>
        <w:t>employers,</w:t>
      </w:r>
      <w:r w:rsidRPr="009A366B">
        <w:rPr>
          <w:color w:val="404040" w:themeColor="text1" w:themeTint="BF"/>
          <w:sz w:val="24"/>
          <w:szCs w:val="24"/>
        </w:rPr>
        <w:t xml:space="preserve"> and individuals for tracking progress and developing each skill. </w:t>
      </w:r>
    </w:p>
    <w:p w14:paraId="5B1512F4" w14:textId="5D31E7A3" w:rsidR="00664F3F" w:rsidRPr="009A366B" w:rsidRDefault="00664F3F" w:rsidP="00664F3F">
      <w:pPr>
        <w:pStyle w:val="CommentText"/>
        <w:rPr>
          <w:color w:val="404040" w:themeColor="text1" w:themeTint="BF"/>
          <w:sz w:val="24"/>
          <w:szCs w:val="24"/>
        </w:rPr>
      </w:pPr>
      <w:r w:rsidRPr="009A366B">
        <w:rPr>
          <w:rStyle w:val="CommentReference"/>
          <w:color w:val="404040" w:themeColor="text1" w:themeTint="BF"/>
          <w:sz w:val="24"/>
          <w:szCs w:val="24"/>
        </w:rPr>
        <w:t xml:space="preserve">The Skills Builder Benchmark Tool can be used to </w:t>
      </w:r>
      <w:r w:rsidRPr="009A366B">
        <w:rPr>
          <w:color w:val="404040" w:themeColor="text1" w:themeTint="BF"/>
          <w:sz w:val="24"/>
          <w:szCs w:val="24"/>
        </w:rPr>
        <w:t>facilitate targeted essential skills education and to measure the impact of skills-building activities:</w:t>
      </w:r>
    </w:p>
    <w:p w14:paraId="50AA9B8A" w14:textId="77777777" w:rsidR="00530E19" w:rsidRPr="009A366B" w:rsidRDefault="00530E19" w:rsidP="00530E19">
      <w:r w:rsidRPr="009A366B">
        <w:rPr>
          <w:noProof/>
          <w:color w:val="2B579A"/>
          <w:shd w:val="clear" w:color="auto" w:fill="E6E6E6"/>
        </w:rPr>
        <w:lastRenderedPageBreak/>
        <w:drawing>
          <wp:inline distT="0" distB="0" distL="0" distR="0" wp14:anchorId="139A0DAF" wp14:editId="36C22895">
            <wp:extent cx="7720314" cy="4394841"/>
            <wp:effectExtent l="0" t="0" r="1905"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28"/>
                    <a:stretch>
                      <a:fillRect/>
                    </a:stretch>
                  </pic:blipFill>
                  <pic:spPr>
                    <a:xfrm>
                      <a:off x="0" y="0"/>
                      <a:ext cx="7739100" cy="4405535"/>
                    </a:xfrm>
                    <a:prstGeom prst="rect">
                      <a:avLst/>
                    </a:prstGeom>
                  </pic:spPr>
                </pic:pic>
              </a:graphicData>
            </a:graphic>
          </wp:inline>
        </w:drawing>
      </w:r>
    </w:p>
    <w:p w14:paraId="3C1DCAFC" w14:textId="77777777" w:rsidR="00530E19" w:rsidRPr="009A366B" w:rsidRDefault="00530E19" w:rsidP="00530E19"/>
    <w:p w14:paraId="5E00F4D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Other relevant frameworks include the Personal, Social and Health Education (PSHE) curriculum provided by the </w:t>
      </w:r>
      <w:hyperlink r:id="rId29" w:history="1">
        <w:r w:rsidRPr="009A366B">
          <w:rPr>
            <w:rStyle w:val="Hyperlink"/>
            <w:color w:val="404040" w:themeColor="text1" w:themeTint="BF"/>
            <w:sz w:val="24"/>
            <w:szCs w:val="24"/>
          </w:rPr>
          <w:t>PSHE Association</w:t>
        </w:r>
      </w:hyperlink>
      <w:r w:rsidRPr="009A366B">
        <w:rPr>
          <w:color w:val="404040" w:themeColor="text1" w:themeTint="BF"/>
          <w:sz w:val="24"/>
          <w:szCs w:val="24"/>
        </w:rPr>
        <w:t xml:space="preserve">. </w:t>
      </w:r>
    </w:p>
    <w:p w14:paraId="3AC3FDAA" w14:textId="77777777" w:rsidR="009C67CC" w:rsidRDefault="009C67CC" w:rsidP="00530E19">
      <w:pPr>
        <w:rPr>
          <w:b/>
          <w:bCs/>
          <w:color w:val="404040" w:themeColor="text1" w:themeTint="BF"/>
          <w:sz w:val="28"/>
          <w:szCs w:val="28"/>
        </w:rPr>
      </w:pPr>
    </w:p>
    <w:p w14:paraId="4018363F" w14:textId="77777777" w:rsidR="009C67CC" w:rsidRDefault="009C67CC" w:rsidP="00530E19">
      <w:pPr>
        <w:rPr>
          <w:b/>
          <w:bCs/>
          <w:color w:val="404040" w:themeColor="text1" w:themeTint="BF"/>
          <w:sz w:val="28"/>
          <w:szCs w:val="28"/>
        </w:rPr>
      </w:pPr>
    </w:p>
    <w:p w14:paraId="65BCFCDF" w14:textId="0BE7363B"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How do I collect knowledge and skills data?</w:t>
      </w:r>
    </w:p>
    <w:p w14:paraId="1E3DD60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Future Skills Questionnaire</w:t>
      </w:r>
    </w:p>
    <w:p w14:paraId="454863F2" w14:textId="0A4D2CA9"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There are different ways to assess how well students are progressing towards the learning outcomes of careers education including formal assessments of knowledge, </w:t>
      </w:r>
      <w:r w:rsidR="009A366B" w:rsidRPr="009A366B">
        <w:rPr>
          <w:color w:val="404040" w:themeColor="text1" w:themeTint="BF"/>
          <w:sz w:val="24"/>
          <w:szCs w:val="24"/>
        </w:rPr>
        <w:t>observations,</w:t>
      </w:r>
      <w:r w:rsidRPr="009A366B">
        <w:rPr>
          <w:color w:val="404040" w:themeColor="text1" w:themeTint="BF"/>
          <w:sz w:val="24"/>
          <w:szCs w:val="24"/>
        </w:rPr>
        <w:t xml:space="preserve"> and reflections (from teachers</w:t>
      </w:r>
      <w:r w:rsidR="000352D1" w:rsidRPr="009A366B">
        <w:rPr>
          <w:color w:val="404040" w:themeColor="text1" w:themeTint="BF"/>
          <w:sz w:val="24"/>
          <w:szCs w:val="24"/>
        </w:rPr>
        <w:t>,</w:t>
      </w:r>
      <w:r w:rsidRPr="009A366B">
        <w:rPr>
          <w:color w:val="404040" w:themeColor="text1" w:themeTint="BF"/>
          <w:sz w:val="24"/>
          <w:szCs w:val="24"/>
        </w:rPr>
        <w:t xml:space="preserve"> careers advisers, parents/</w:t>
      </w:r>
      <w:r w:rsidR="009A366B" w:rsidRPr="009A366B">
        <w:rPr>
          <w:color w:val="404040" w:themeColor="text1" w:themeTint="BF"/>
          <w:sz w:val="24"/>
          <w:szCs w:val="24"/>
        </w:rPr>
        <w:t>carers,</w:t>
      </w:r>
      <w:r w:rsidRPr="009A366B">
        <w:rPr>
          <w:color w:val="404040" w:themeColor="text1" w:themeTint="BF"/>
          <w:sz w:val="24"/>
          <w:szCs w:val="24"/>
        </w:rPr>
        <w:t xml:space="preserve"> and employers), and the perceptions of young people themselves. Self-development aspects of learning outcomes, such as self-belief and self-efficacy, can be measured through standardised psychometric tools which have been collated by the Education Endowment Foundation in the </w:t>
      </w:r>
      <w:hyperlink r:id="rId30" w:history="1">
        <w:r w:rsidRPr="009A366B">
          <w:rPr>
            <w:rStyle w:val="Hyperlink"/>
            <w:color w:val="4472C4" w:themeColor="accent1"/>
            <w:sz w:val="24"/>
            <w:szCs w:val="24"/>
          </w:rPr>
          <w:t>SPECTRUM Database</w:t>
        </w:r>
      </w:hyperlink>
      <w:r w:rsidRPr="009A366B">
        <w:rPr>
          <w:color w:val="404040" w:themeColor="text1" w:themeTint="BF"/>
          <w:sz w:val="24"/>
          <w:szCs w:val="24"/>
        </w:rPr>
        <w:t xml:space="preserve">. </w:t>
      </w:r>
    </w:p>
    <w:p w14:paraId="052F047F" w14:textId="538C113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 Careers &amp; Enterprise Company has developed a measurement tool called the </w:t>
      </w:r>
      <w:hyperlink r:id="rId31">
        <w:r w:rsidR="1EFCABB8" w:rsidRPr="4B5CB2A0">
          <w:rPr>
            <w:rStyle w:val="Hyperlink"/>
            <w:sz w:val="24"/>
            <w:szCs w:val="24"/>
          </w:rPr>
          <w:t>Future Skills Questionnaire</w:t>
        </w:r>
      </w:hyperlink>
      <w:r w:rsidRPr="009A366B">
        <w:rPr>
          <w:color w:val="404040" w:themeColor="text1" w:themeTint="BF"/>
          <w:sz w:val="24"/>
          <w:szCs w:val="24"/>
        </w:rPr>
        <w:t xml:space="preserve"> to provide a quick and simple solution to tracking careers education learning outcomes from a student perspective. </w:t>
      </w:r>
      <w:r w:rsidR="1EFCABB8" w:rsidRPr="4B5CB2A0">
        <w:rPr>
          <w:color w:val="404040" w:themeColor="text1" w:themeTint="BF"/>
          <w:sz w:val="24"/>
          <w:szCs w:val="24"/>
        </w:rPr>
        <w:t xml:space="preserve">The </w:t>
      </w:r>
      <w:hyperlink r:id="rId32" w:history="1">
        <w:r w:rsidR="00446280" w:rsidRPr="00446280">
          <w:rPr>
            <w:rStyle w:val="Hyperlink"/>
            <w:sz w:val="24"/>
            <w:szCs w:val="24"/>
          </w:rPr>
          <w:t>FSQ</w:t>
        </w:r>
      </w:hyperlink>
      <w:r w:rsidRPr="009A366B">
        <w:rPr>
          <w:color w:val="404040" w:themeColor="text1" w:themeTint="BF"/>
          <w:sz w:val="24"/>
          <w:szCs w:val="24"/>
        </w:rPr>
        <w:t xml:space="preserve"> is available to secondary schools who use the Compass+ career management digital tool. The questions cover labour </w:t>
      </w:r>
      <w:r w:rsidR="1EFCABB8" w:rsidRPr="4B5CB2A0">
        <w:rPr>
          <w:color w:val="404040" w:themeColor="text1" w:themeTint="BF"/>
          <w:sz w:val="24"/>
          <w:szCs w:val="24"/>
        </w:rPr>
        <w:t>market</w:t>
      </w:r>
      <w:r w:rsidR="6251ACF7" w:rsidRPr="4B5CB2A0">
        <w:rPr>
          <w:color w:val="404040" w:themeColor="text1" w:themeTint="BF"/>
          <w:sz w:val="24"/>
          <w:szCs w:val="24"/>
        </w:rPr>
        <w:t xml:space="preserve"> awareness</w:t>
      </w:r>
      <w:r w:rsidRPr="009A366B">
        <w:rPr>
          <w:color w:val="404040" w:themeColor="text1" w:themeTint="BF"/>
          <w:sz w:val="24"/>
          <w:szCs w:val="24"/>
        </w:rPr>
        <w:t xml:space="preserve">, </w:t>
      </w:r>
      <w:r w:rsidR="25598200" w:rsidRPr="4B5CB2A0">
        <w:rPr>
          <w:color w:val="404040" w:themeColor="text1" w:themeTint="BF"/>
          <w:sz w:val="24"/>
          <w:szCs w:val="24"/>
        </w:rPr>
        <w:t>seeking advice and guidance</w:t>
      </w:r>
      <w:r w:rsidR="1EFCABB8" w:rsidRPr="4B5CB2A0">
        <w:rPr>
          <w:color w:val="404040" w:themeColor="text1" w:themeTint="BF"/>
          <w:sz w:val="24"/>
          <w:szCs w:val="24"/>
        </w:rPr>
        <w:t>, plan</w:t>
      </w:r>
      <w:r w:rsidR="620542EA" w:rsidRPr="4B5CB2A0">
        <w:rPr>
          <w:color w:val="404040" w:themeColor="text1" w:themeTint="BF"/>
          <w:sz w:val="24"/>
          <w:szCs w:val="24"/>
        </w:rPr>
        <w:t>ning and choosing, and transition skills</w:t>
      </w:r>
      <w:r w:rsidRPr="009A366B">
        <w:rPr>
          <w:color w:val="404040" w:themeColor="text1" w:themeTint="BF"/>
          <w:sz w:val="24"/>
          <w:szCs w:val="24"/>
        </w:rPr>
        <w:t>. There is also a section about essential skills</w:t>
      </w:r>
      <w:r w:rsidR="29F81D01" w:rsidRPr="4B5CB2A0">
        <w:rPr>
          <w:color w:val="404040" w:themeColor="text1" w:themeTint="BF"/>
          <w:sz w:val="24"/>
          <w:szCs w:val="24"/>
        </w:rPr>
        <w:t xml:space="preserve"> based on the Skills Builder framework</w:t>
      </w:r>
      <w:r w:rsidR="1EFCABB8" w:rsidRPr="4B5CB2A0">
        <w:rPr>
          <w:color w:val="404040" w:themeColor="text1" w:themeTint="BF"/>
          <w:sz w:val="24"/>
          <w:szCs w:val="24"/>
        </w:rPr>
        <w:t>.</w:t>
      </w:r>
      <w:r w:rsidRPr="009A366B">
        <w:rPr>
          <w:color w:val="404040" w:themeColor="text1" w:themeTint="BF"/>
          <w:sz w:val="24"/>
          <w:szCs w:val="24"/>
        </w:rPr>
        <w:t xml:space="preserve"> The questions were developed with reference to existing frameworks and in consultation with careers practitioners and sector experts. They were tested with 3,500 students and in-depth cognitive testing was carried out with 40 </w:t>
      </w:r>
      <w:r w:rsidR="000352D1" w:rsidRPr="009A366B">
        <w:rPr>
          <w:color w:val="404040" w:themeColor="text1" w:themeTint="BF"/>
          <w:sz w:val="24"/>
          <w:szCs w:val="24"/>
        </w:rPr>
        <w:t>students.</w:t>
      </w:r>
      <w:r w:rsidRPr="009A366B">
        <w:rPr>
          <w:color w:val="404040" w:themeColor="text1" w:themeTint="BF"/>
          <w:sz w:val="24"/>
          <w:szCs w:val="24"/>
        </w:rPr>
        <w:t xml:space="preserve"> </w:t>
      </w:r>
    </w:p>
    <w:p w14:paraId="77CC3DD9"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Versions are tailored for points of transition – start of Year 7, GCSE choices time, end of Year 11 and end of 16-18 study – so that the questions are relevant. There is a maximum of 25 questions. The SEND version has 14 questions and is designed to be completed as part of a conversation. The scores for individuals and average scores for cohorts indicate the extent to which students are on track with knowledge and skills development and where there are gaps.</w:t>
      </w:r>
    </w:p>
    <w:p w14:paraId="73117E5D" w14:textId="77777777" w:rsidR="00E26360" w:rsidRDefault="056CBC1C" w:rsidP="00530E19">
      <w:pPr>
        <w:rPr>
          <w:color w:val="404040" w:themeColor="text1" w:themeTint="BF"/>
          <w:sz w:val="24"/>
          <w:szCs w:val="24"/>
        </w:rPr>
      </w:pPr>
      <w:r w:rsidRPr="009A366B">
        <w:rPr>
          <w:color w:val="404040" w:themeColor="text1" w:themeTint="BF"/>
          <w:sz w:val="24"/>
          <w:szCs w:val="24"/>
        </w:rPr>
        <w:t xml:space="preserve">The Future Skills Questionnaire is embedded within Compass+ enabling </w:t>
      </w:r>
      <w:r w:rsidR="00FB7688" w:rsidRPr="009A366B">
        <w:rPr>
          <w:color w:val="404040" w:themeColor="text1" w:themeTint="BF"/>
          <w:sz w:val="24"/>
          <w:szCs w:val="24"/>
        </w:rPr>
        <w:t>students’</w:t>
      </w:r>
      <w:r w:rsidRPr="009A366B">
        <w:rPr>
          <w:color w:val="404040" w:themeColor="text1" w:themeTint="BF"/>
          <w:sz w:val="24"/>
          <w:szCs w:val="24"/>
        </w:rPr>
        <w:t xml:space="preserve"> responses to be </w:t>
      </w:r>
      <w:r w:rsidR="3DFA189E" w:rsidRPr="009A366B">
        <w:rPr>
          <w:color w:val="404040" w:themeColor="text1" w:themeTint="BF"/>
          <w:sz w:val="24"/>
          <w:szCs w:val="24"/>
        </w:rPr>
        <w:t>saved back to their profiles and viewed alongside student characteristics</w:t>
      </w:r>
      <w:r w:rsidR="0E4D5AF4" w:rsidRPr="009A366B">
        <w:rPr>
          <w:color w:val="404040" w:themeColor="text1" w:themeTint="BF"/>
          <w:sz w:val="24"/>
          <w:szCs w:val="24"/>
        </w:rPr>
        <w:t>.</w:t>
      </w:r>
      <w:r w:rsidR="11039091" w:rsidRPr="009A366B">
        <w:rPr>
          <w:color w:val="404040" w:themeColor="text1" w:themeTint="BF"/>
          <w:sz w:val="24"/>
          <w:szCs w:val="24"/>
        </w:rPr>
        <w:t xml:space="preserve"> Data </w:t>
      </w:r>
      <w:r w:rsidR="4FA875C2" w:rsidRPr="009A366B">
        <w:rPr>
          <w:color w:val="404040" w:themeColor="text1" w:themeTint="BF"/>
          <w:sz w:val="24"/>
          <w:szCs w:val="24"/>
        </w:rPr>
        <w:t>visualisations</w:t>
      </w:r>
      <w:r w:rsidR="11039091" w:rsidRPr="009A366B">
        <w:rPr>
          <w:color w:val="404040" w:themeColor="text1" w:themeTint="BF"/>
          <w:sz w:val="24"/>
          <w:szCs w:val="24"/>
        </w:rPr>
        <w:t xml:space="preserve"> within the tool will allow Careers Leaders to view </w:t>
      </w:r>
      <w:r w:rsidR="23C933ED" w:rsidRPr="009A366B">
        <w:rPr>
          <w:color w:val="404040" w:themeColor="text1" w:themeTint="BF"/>
          <w:sz w:val="24"/>
          <w:szCs w:val="24"/>
        </w:rPr>
        <w:t>the combined responses for year groups</w:t>
      </w:r>
      <w:r w:rsidR="49C61180" w:rsidRPr="009A366B">
        <w:rPr>
          <w:color w:val="404040" w:themeColor="text1" w:themeTint="BF"/>
          <w:sz w:val="24"/>
          <w:szCs w:val="24"/>
        </w:rPr>
        <w:t xml:space="preserve"> and compare responses by </w:t>
      </w:r>
      <w:r w:rsidR="00A43C05" w:rsidRPr="009A366B">
        <w:rPr>
          <w:color w:val="404040" w:themeColor="text1" w:themeTint="BF"/>
          <w:sz w:val="24"/>
          <w:szCs w:val="24"/>
        </w:rPr>
        <w:t>gender</w:t>
      </w:r>
      <w:r w:rsidR="00A43C05">
        <w:rPr>
          <w:color w:val="404040" w:themeColor="text1" w:themeTint="BF"/>
          <w:sz w:val="24"/>
          <w:szCs w:val="24"/>
        </w:rPr>
        <w:t>.</w:t>
      </w:r>
    </w:p>
    <w:p w14:paraId="414DA35F" w14:textId="57FBD46F" w:rsidR="00515724" w:rsidRPr="009A366B" w:rsidRDefault="00515724" w:rsidP="00530E19">
      <w:pPr>
        <w:rPr>
          <w:color w:val="404040" w:themeColor="text1" w:themeTint="BF"/>
          <w:sz w:val="24"/>
          <w:szCs w:val="24"/>
        </w:rPr>
      </w:pPr>
      <w:r w:rsidRPr="009A366B">
        <w:rPr>
          <w:noProof/>
          <w:color w:val="2B579A"/>
          <w:shd w:val="clear" w:color="auto" w:fill="E6E6E6"/>
        </w:rPr>
        <w:lastRenderedPageBreak/>
        <w:drawing>
          <wp:inline distT="0" distB="0" distL="0" distR="0" wp14:anchorId="4785FB98" wp14:editId="04EA9101">
            <wp:extent cx="4791919" cy="537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3">
                      <a:extLst>
                        <a:ext uri="{28A0092B-C50C-407E-A947-70E740481C1C}">
                          <a14:useLocalDpi xmlns:a14="http://schemas.microsoft.com/office/drawing/2010/main" val="0"/>
                        </a:ext>
                      </a:extLst>
                    </a:blip>
                    <a:stretch>
                      <a:fillRect/>
                    </a:stretch>
                  </pic:blipFill>
                  <pic:spPr>
                    <a:xfrm>
                      <a:off x="0" y="0"/>
                      <a:ext cx="4796521" cy="5382744"/>
                    </a:xfrm>
                    <a:prstGeom prst="rect">
                      <a:avLst/>
                    </a:prstGeom>
                  </pic:spPr>
                </pic:pic>
              </a:graphicData>
            </a:graphic>
          </wp:inline>
        </w:drawing>
      </w:r>
      <w:r w:rsidRPr="00ED084A">
        <w:rPr>
          <w:noProof/>
          <w:color w:val="2B579A"/>
          <w:shd w:val="clear" w:color="auto" w:fill="FFFFFF" w:themeFill="background1"/>
        </w:rPr>
        <w:drawing>
          <wp:inline distT="0" distB="0" distL="0" distR="0" wp14:anchorId="610B7D14" wp14:editId="1C60664B">
            <wp:extent cx="4946684" cy="317146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4">
                      <a:extLst>
                        <a:ext uri="{28A0092B-C50C-407E-A947-70E740481C1C}">
                          <a14:useLocalDpi xmlns:a14="http://schemas.microsoft.com/office/drawing/2010/main" val="0"/>
                        </a:ext>
                      </a:extLst>
                    </a:blip>
                    <a:stretch>
                      <a:fillRect/>
                    </a:stretch>
                  </pic:blipFill>
                  <pic:spPr>
                    <a:xfrm>
                      <a:off x="0" y="0"/>
                      <a:ext cx="4946684" cy="3171463"/>
                    </a:xfrm>
                    <a:prstGeom prst="rect">
                      <a:avLst/>
                    </a:prstGeom>
                  </pic:spPr>
                </pic:pic>
              </a:graphicData>
            </a:graphic>
          </wp:inline>
        </w:drawing>
      </w:r>
    </w:p>
    <w:p w14:paraId="13B26F5F" w14:textId="00B9FAE4"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Colleges</w:t>
      </w:r>
    </w:p>
    <w:p w14:paraId="3F675844" w14:textId="2375B9C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Careers Leaders in colleges do not have access to the full functionality of the FSQ because Compass+ is only for schools. However, Careers Leaders helped shape the </w:t>
      </w:r>
      <w:r w:rsidR="00FB7688" w:rsidRPr="009A366B">
        <w:rPr>
          <w:color w:val="404040" w:themeColor="text1" w:themeTint="BF"/>
          <w:sz w:val="24"/>
          <w:szCs w:val="24"/>
        </w:rPr>
        <w:t>16–18-year</w:t>
      </w:r>
      <w:r w:rsidRPr="009A366B">
        <w:rPr>
          <w:color w:val="404040" w:themeColor="text1" w:themeTint="BF"/>
          <w:sz w:val="28"/>
          <w:szCs w:val="28"/>
        </w:rPr>
        <w:t xml:space="preserve"> </w:t>
      </w:r>
      <w:r w:rsidRPr="009A366B">
        <w:rPr>
          <w:color w:val="404040" w:themeColor="text1" w:themeTint="BF"/>
          <w:sz w:val="24"/>
          <w:szCs w:val="24"/>
        </w:rPr>
        <w:t xml:space="preserve">version to ensure its relevance for college students (and some Careers Leaders thought the Key Stage 4 version might be suitable for some Level 2 learners). The questions and accompanying guidance </w:t>
      </w:r>
      <w:r w:rsidR="00A4797E">
        <w:rPr>
          <w:color w:val="404040" w:themeColor="text1" w:themeTint="BF"/>
          <w:sz w:val="24"/>
          <w:szCs w:val="24"/>
        </w:rPr>
        <w:t>will be made</w:t>
      </w:r>
      <w:r w:rsidR="00A4797E" w:rsidRPr="009A366B">
        <w:rPr>
          <w:color w:val="404040" w:themeColor="text1" w:themeTint="BF"/>
          <w:sz w:val="24"/>
          <w:szCs w:val="24"/>
        </w:rPr>
        <w:t xml:space="preserve"> </w:t>
      </w:r>
      <w:r w:rsidRPr="009A366B">
        <w:rPr>
          <w:color w:val="404040" w:themeColor="text1" w:themeTint="BF"/>
          <w:sz w:val="24"/>
          <w:szCs w:val="24"/>
        </w:rPr>
        <w:t>available on The Careers &amp; Enterprise Company website to enable colleges to programme the tool in their own software.</w:t>
      </w:r>
    </w:p>
    <w:p w14:paraId="2D9A4CA6" w14:textId="77777777" w:rsidR="00AF0AA7" w:rsidRPr="009A366B" w:rsidRDefault="00530E19" w:rsidP="00AF0AA7">
      <w:pPr>
        <w:rPr>
          <w:color w:val="404040" w:themeColor="text1" w:themeTint="BF"/>
          <w:sz w:val="24"/>
          <w:szCs w:val="24"/>
        </w:rPr>
      </w:pPr>
      <w:r w:rsidRPr="009A366B">
        <w:rPr>
          <w:color w:val="404040" w:themeColor="text1" w:themeTint="BF"/>
          <w:sz w:val="24"/>
          <w:szCs w:val="24"/>
        </w:rPr>
        <w:t>Some colleges also have access to diagnostic tools within programmes such as ProMonitor.</w:t>
      </w:r>
      <w:r w:rsidR="00AF0AA7" w:rsidRPr="009A366B">
        <w:rPr>
          <w:color w:val="404040" w:themeColor="text1" w:themeTint="BF"/>
          <w:sz w:val="24"/>
          <w:szCs w:val="24"/>
        </w:rPr>
        <w:t xml:space="preserve"> </w:t>
      </w:r>
    </w:p>
    <w:p w14:paraId="2D6FC133" w14:textId="07BF3393" w:rsidR="00D829F8" w:rsidRPr="009A366B" w:rsidRDefault="00D829F8" w:rsidP="00D829F8">
      <w:pPr>
        <w:rPr>
          <w:b/>
          <w:bCs/>
          <w:color w:val="404040" w:themeColor="text1" w:themeTint="BF"/>
          <w:sz w:val="28"/>
          <w:szCs w:val="28"/>
        </w:rPr>
      </w:pPr>
      <w:r w:rsidRPr="009A366B">
        <w:rPr>
          <w:b/>
          <w:bCs/>
          <w:color w:val="404040" w:themeColor="text1" w:themeTint="BF"/>
          <w:sz w:val="28"/>
          <w:szCs w:val="28"/>
        </w:rPr>
        <w:t>Evaluating the Evidence: Example Reflective Questions (Careers Knowledge &amp; Skills)</w:t>
      </w:r>
    </w:p>
    <w:p w14:paraId="33538F27"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What do the FSQ scores show about progress across different transition points?</w:t>
      </w:r>
    </w:p>
    <w:p w14:paraId="27A7ABE7"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progress with year on year with responses at key transition points?</w:t>
      </w:r>
    </w:p>
    <w:p w14:paraId="667A8380"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similar scores by vulnerable groups including gender and disadvantage?</w:t>
      </w:r>
    </w:p>
    <w:p w14:paraId="0513A364"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Can associations be identified from FSQ scores between career programme changes and scores?</w:t>
      </w:r>
    </w:p>
    <w:p w14:paraId="5D6FD74B"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From FSQ scores, what should be focus on going forward according to questions with more negative responses?</w:t>
      </w:r>
    </w:p>
    <w:p w14:paraId="26A33948"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that students aware of all routes available to them at 16/18?</w:t>
      </w:r>
    </w:p>
    <w:p w14:paraId="5ED93B3F"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that there is alignment of career interests with local skills needs?</w:t>
      </w:r>
    </w:p>
    <w:p w14:paraId="4EC2D3A6"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From FSQ scores, which students require additional support to make positive transitions?</w:t>
      </w:r>
    </w:p>
    <w:p w14:paraId="74841BB8" w14:textId="77777777" w:rsidR="00FB7688" w:rsidRPr="009A366B" w:rsidRDefault="00FB7688" w:rsidP="00AF0AA7">
      <w:pPr>
        <w:rPr>
          <w:color w:val="404040" w:themeColor="text1" w:themeTint="BF"/>
          <w:sz w:val="28"/>
          <w:szCs w:val="28"/>
        </w:rPr>
      </w:pPr>
    </w:p>
    <w:p w14:paraId="7DDE1886" w14:textId="3CA3D737" w:rsidR="00AF0AA7" w:rsidRPr="009A366B" w:rsidRDefault="00CF655B" w:rsidP="00AF0AA7">
      <w:pPr>
        <w:rPr>
          <w:b/>
          <w:bCs/>
          <w:color w:val="404040" w:themeColor="text1" w:themeTint="BF"/>
          <w:sz w:val="28"/>
          <w:szCs w:val="28"/>
        </w:rPr>
      </w:pPr>
      <w:r w:rsidRPr="009A366B">
        <w:rPr>
          <w:b/>
          <w:bCs/>
          <w:color w:val="404040" w:themeColor="text1" w:themeTint="BF"/>
          <w:sz w:val="28"/>
          <w:szCs w:val="28"/>
        </w:rPr>
        <w:t>Additional Tools, Resource and Support</w:t>
      </w:r>
    </w:p>
    <w:p w14:paraId="7AB210DA" w14:textId="278B3501" w:rsidR="00530E19" w:rsidRPr="009A366B" w:rsidRDefault="00D829F8" w:rsidP="00530E19">
      <w:pPr>
        <w:rPr>
          <w:color w:val="404040" w:themeColor="text1" w:themeTint="BF"/>
          <w:sz w:val="24"/>
          <w:szCs w:val="24"/>
        </w:rPr>
      </w:pPr>
      <w:r w:rsidRPr="009A366B">
        <w:rPr>
          <w:color w:val="404040" w:themeColor="text1" w:themeTint="BF"/>
          <w:sz w:val="24"/>
          <w:szCs w:val="24"/>
        </w:rPr>
        <w:t xml:space="preserve">Other questionnaires include the Student Career Readiness Index, which was used in the Evaluation of the </w:t>
      </w:r>
      <w:r w:rsidR="00FB7688" w:rsidRPr="009A366B">
        <w:rPr>
          <w:color w:val="404040" w:themeColor="text1" w:themeTint="BF"/>
          <w:sz w:val="24"/>
          <w:szCs w:val="24"/>
        </w:rPr>
        <w:t>Northeast</w:t>
      </w:r>
      <w:r w:rsidRPr="009A366B">
        <w:rPr>
          <w:color w:val="404040" w:themeColor="text1" w:themeTint="BF"/>
          <w:sz w:val="24"/>
          <w:szCs w:val="24"/>
        </w:rPr>
        <w:t xml:space="preserve"> pilot of the Gatsby Benchmarks. </w:t>
      </w:r>
      <w:r w:rsidR="009D6762" w:rsidRPr="009A366B">
        <w:rPr>
          <w:color w:val="404040" w:themeColor="text1" w:themeTint="BF"/>
          <w:sz w:val="24"/>
          <w:szCs w:val="24"/>
        </w:rPr>
        <w:t>The Student Career Readiness Index (SCRI)</w:t>
      </w:r>
      <w:r w:rsidR="006C4363" w:rsidRPr="009A366B">
        <w:rPr>
          <w:color w:val="404040" w:themeColor="text1" w:themeTint="BF"/>
          <w:sz w:val="24"/>
          <w:szCs w:val="24"/>
        </w:rPr>
        <w:t xml:space="preserve"> is a nine-item scale which is valid measure of career readiness. More information and </w:t>
      </w:r>
      <w:r w:rsidR="00363592" w:rsidRPr="009A366B">
        <w:rPr>
          <w:color w:val="404040" w:themeColor="text1" w:themeTint="BF"/>
          <w:sz w:val="24"/>
          <w:szCs w:val="24"/>
        </w:rPr>
        <w:t xml:space="preserve">the questionnaire items can be found </w:t>
      </w:r>
      <w:hyperlink r:id="rId35" w:history="1">
        <w:r w:rsidR="00363592" w:rsidRPr="009A366B">
          <w:rPr>
            <w:rStyle w:val="Hyperlink"/>
            <w:color w:val="4472C4" w:themeColor="accent1"/>
            <w:sz w:val="24"/>
            <w:szCs w:val="24"/>
          </w:rPr>
          <w:t>here</w:t>
        </w:r>
      </w:hyperlink>
      <w:r w:rsidR="00363592" w:rsidRPr="009A366B">
        <w:rPr>
          <w:color w:val="404040" w:themeColor="text1" w:themeTint="BF"/>
          <w:sz w:val="24"/>
          <w:szCs w:val="24"/>
        </w:rPr>
        <w:t xml:space="preserve">. </w:t>
      </w:r>
      <w:r w:rsidR="00CF655B" w:rsidRPr="009A366B">
        <w:rPr>
          <w:color w:val="404040" w:themeColor="text1" w:themeTint="BF"/>
          <w:sz w:val="24"/>
          <w:szCs w:val="24"/>
        </w:rPr>
        <w:t xml:space="preserve">The Gatsby report that references the tool </w:t>
      </w:r>
      <w:r w:rsidRPr="009A366B">
        <w:rPr>
          <w:color w:val="404040" w:themeColor="text1" w:themeTint="BF"/>
          <w:sz w:val="24"/>
          <w:szCs w:val="24"/>
        </w:rPr>
        <w:t>can be found</w:t>
      </w:r>
      <w:r w:rsidR="00CF655B" w:rsidRPr="009A366B">
        <w:rPr>
          <w:color w:val="404040" w:themeColor="text1" w:themeTint="BF"/>
          <w:sz w:val="24"/>
          <w:szCs w:val="24"/>
        </w:rPr>
        <w:t xml:space="preserve"> </w:t>
      </w:r>
      <w:hyperlink r:id="rId36" w:history="1">
        <w:r w:rsidR="00CF655B" w:rsidRPr="009A366B">
          <w:rPr>
            <w:rStyle w:val="Hyperlink"/>
            <w:color w:val="4472C4" w:themeColor="accent1"/>
            <w:sz w:val="24"/>
            <w:szCs w:val="24"/>
          </w:rPr>
          <w:t>here</w:t>
        </w:r>
      </w:hyperlink>
      <w:r w:rsidRPr="009A366B">
        <w:rPr>
          <w:color w:val="404040" w:themeColor="text1" w:themeTint="BF"/>
          <w:sz w:val="24"/>
          <w:szCs w:val="24"/>
        </w:rPr>
        <w:t>.</w:t>
      </w:r>
    </w:p>
    <w:p w14:paraId="4C2E53B2" w14:textId="038F6FCE" w:rsidR="00136A20" w:rsidRDefault="00136A20" w:rsidP="00136A20">
      <w:pPr>
        <w:rPr>
          <w:color w:val="404040" w:themeColor="text1" w:themeTint="BF"/>
          <w:sz w:val="28"/>
          <w:szCs w:val="28"/>
        </w:rPr>
      </w:pPr>
    </w:p>
    <w:p w14:paraId="30C0D7D3" w14:textId="77777777" w:rsidR="00E26360" w:rsidRPr="009A366B" w:rsidRDefault="00E26360" w:rsidP="00136A20">
      <w:pPr>
        <w:rPr>
          <w:color w:val="404040" w:themeColor="text1" w:themeTint="BF"/>
          <w:sz w:val="28"/>
          <w:szCs w:val="28"/>
        </w:rPr>
      </w:pPr>
    </w:p>
    <w:p w14:paraId="556D3BE2" w14:textId="227D318B" w:rsidR="00530E19" w:rsidRPr="009A366B" w:rsidRDefault="00530E19" w:rsidP="009E6995">
      <w:pPr>
        <w:numPr>
          <w:ilvl w:val="0"/>
          <w:numId w:val="8"/>
        </w:numPr>
        <w:rPr>
          <w:b/>
          <w:bCs/>
          <w:color w:val="00A8A8"/>
          <w:sz w:val="28"/>
          <w:szCs w:val="28"/>
        </w:rPr>
      </w:pPr>
      <w:r w:rsidRPr="009A366B">
        <w:rPr>
          <w:b/>
          <w:bCs/>
          <w:color w:val="00A8A8"/>
          <w:sz w:val="28"/>
          <w:szCs w:val="28"/>
        </w:rPr>
        <w:lastRenderedPageBreak/>
        <w:t>Education engagement</w:t>
      </w:r>
    </w:p>
    <w:p w14:paraId="5A9F3001"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245D8C10" w14:textId="7219F272" w:rsidR="00F7447C" w:rsidRPr="009A366B" w:rsidRDefault="00530E19" w:rsidP="00530E19">
      <w:pPr>
        <w:rPr>
          <w:color w:val="404040" w:themeColor="text1" w:themeTint="BF"/>
          <w:sz w:val="24"/>
          <w:szCs w:val="24"/>
        </w:rPr>
      </w:pPr>
      <w:r w:rsidRPr="009A366B">
        <w:rPr>
          <w:color w:val="404040" w:themeColor="text1" w:themeTint="BF"/>
          <w:sz w:val="24"/>
          <w:szCs w:val="24"/>
        </w:rPr>
        <w:t>Engagement in curriculum learning and academic attainment are recognised by Careers Leaders and senior leaders as important outcomes of careers education that support young people to achieve successful careers. There is considerable evidence to show that careers education can support education outcomes by demonstrating the relevance of academic learning and effort for employment and increasing interest in curriculum subjects, particularly for the most disadvantaged and disengaged students.</w:t>
      </w:r>
    </w:p>
    <w:p w14:paraId="5EA119DD"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Indicators of engagement include:</w:t>
      </w:r>
    </w:p>
    <w:p w14:paraId="656A2ED7"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School or college attendance rates</w:t>
      </w:r>
    </w:p>
    <w:p w14:paraId="3593DC1A"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End of unit / end of year assessment grades</w:t>
      </w:r>
    </w:p>
    <w:p w14:paraId="046F9DCD"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Effort grades from teachers and staff</w:t>
      </w:r>
    </w:p>
    <w:p w14:paraId="49057878"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Behaviour referrals/rewards information</w:t>
      </w:r>
    </w:p>
    <w:p w14:paraId="71EB79DE"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Student perceptions of learning, interest in subjects, and self-reported behaviours such as time spent on homework</w:t>
      </w:r>
    </w:p>
    <w:p w14:paraId="71AF3786" w14:textId="34D8374B"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Public examination results such as pass rates in GCSEs and Level 3 courses</w:t>
      </w:r>
    </w:p>
    <w:p w14:paraId="65CE17A1" w14:textId="77777777" w:rsidR="00FB7688" w:rsidRPr="006F3E32" w:rsidRDefault="00FB7688" w:rsidP="00FB7688">
      <w:pPr>
        <w:pStyle w:val="ListParagraph"/>
        <w:ind w:left="1080"/>
        <w:rPr>
          <w:rFonts w:asciiTheme="minorHAnsi" w:hAnsiTheme="minorHAnsi"/>
          <w:color w:val="404040" w:themeColor="text1" w:themeTint="BF"/>
          <w:sz w:val="16"/>
          <w:szCs w:val="16"/>
        </w:rPr>
      </w:pPr>
    </w:p>
    <w:p w14:paraId="69F215E0"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education engagement data?</w:t>
      </w:r>
    </w:p>
    <w:p w14:paraId="073E188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Careers Leaders can gather education data from institution records or directly from colleagues. In many schools and colleges, Careers Leaders work closely with pastoral teams, student services and progression coaches so will have ready access to education data. It is likely to be most fruitful to focus on students who have lower engagement and attainment rates, where there is greatest potential for the careers programme to have an impact.</w:t>
      </w:r>
    </w:p>
    <w:p w14:paraId="743ED67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School and college level attainment results can be accessed from the DfE website and explored for patterns between groups of students and over time. Reports for each school include Progress 8 scores (including for disadvantaged students particularly), Attainment 8 scores, and the proportion of students achieving pass grades in English and Maths GCSE. Local authority and national averages are shown for comparison.</w:t>
      </w:r>
    </w:p>
    <w:p w14:paraId="29B5952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If you wish to gather perceptions directly from students, questions can be lifted from well-established surveys, such as:</w:t>
      </w:r>
    </w:p>
    <w:p w14:paraId="3626D201" w14:textId="77777777" w:rsidR="00530E19" w:rsidRPr="009A366B" w:rsidRDefault="00530E19" w:rsidP="00530E19">
      <w:pPr>
        <w:numPr>
          <w:ilvl w:val="0"/>
          <w:numId w:val="5"/>
        </w:numPr>
        <w:rPr>
          <w:color w:val="404040" w:themeColor="text1" w:themeTint="BF"/>
          <w:sz w:val="24"/>
          <w:szCs w:val="24"/>
        </w:rPr>
      </w:pPr>
      <w:r w:rsidRPr="009A366B">
        <w:rPr>
          <w:color w:val="404040" w:themeColor="text1" w:themeTint="BF"/>
          <w:sz w:val="24"/>
          <w:szCs w:val="24"/>
        </w:rPr>
        <w:t xml:space="preserve">Millennium Cohort Study age </w:t>
      </w:r>
      <w:hyperlink r:id="rId37">
        <w:r w:rsidRPr="009A366B">
          <w:rPr>
            <w:rStyle w:val="Hyperlink"/>
            <w:color w:val="404040" w:themeColor="text1" w:themeTint="BF"/>
            <w:sz w:val="24"/>
            <w:szCs w:val="24"/>
          </w:rPr>
          <w:t>11</w:t>
        </w:r>
      </w:hyperlink>
      <w:r w:rsidRPr="009A366B">
        <w:rPr>
          <w:color w:val="404040" w:themeColor="text1" w:themeTint="BF"/>
          <w:sz w:val="24"/>
          <w:szCs w:val="24"/>
        </w:rPr>
        <w:t xml:space="preserve">, </w:t>
      </w:r>
      <w:hyperlink r:id="rId38">
        <w:r w:rsidRPr="009A366B">
          <w:rPr>
            <w:rStyle w:val="Hyperlink"/>
            <w:color w:val="404040" w:themeColor="text1" w:themeTint="BF"/>
            <w:sz w:val="24"/>
            <w:szCs w:val="24"/>
          </w:rPr>
          <w:t>14</w:t>
        </w:r>
      </w:hyperlink>
      <w:r w:rsidRPr="009A366B">
        <w:rPr>
          <w:color w:val="404040" w:themeColor="text1" w:themeTint="BF"/>
          <w:sz w:val="24"/>
          <w:szCs w:val="24"/>
        </w:rPr>
        <w:t xml:space="preserve"> or </w:t>
      </w:r>
      <w:hyperlink r:id="rId39">
        <w:r w:rsidRPr="009A366B">
          <w:rPr>
            <w:rStyle w:val="Hyperlink"/>
            <w:color w:val="404040" w:themeColor="text1" w:themeTint="BF"/>
            <w:sz w:val="24"/>
            <w:szCs w:val="24"/>
          </w:rPr>
          <w:t>17</w:t>
        </w:r>
      </w:hyperlink>
      <w:r w:rsidRPr="009A366B">
        <w:rPr>
          <w:color w:val="404040" w:themeColor="text1" w:themeTint="BF"/>
          <w:sz w:val="24"/>
          <w:szCs w:val="24"/>
        </w:rPr>
        <w:t xml:space="preserve"> (measures school motivation and engagement, plans for future study, aspirations)</w:t>
      </w:r>
    </w:p>
    <w:p w14:paraId="53F9532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How can I use the evidence to evaluate my programme?</w:t>
      </w:r>
    </w:p>
    <w:p w14:paraId="1EF7C5AE"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Education data can be used to track the extent to which participation in targeted careers activities improves the engagement and attainment of the most vulnerable students and potentially to identify which approaches have been most effective. </w:t>
      </w:r>
    </w:p>
    <w:p w14:paraId="13341234" w14:textId="48E7EF89" w:rsidR="00136A20" w:rsidRPr="009A366B" w:rsidRDefault="009C67CC" w:rsidP="00136A20">
      <w:r>
        <w:rPr>
          <w:noProof/>
        </w:rPr>
        <mc:AlternateContent>
          <mc:Choice Requires="wps">
            <w:drawing>
              <wp:anchor distT="0" distB="0" distL="114300" distR="114300" simplePos="0" relativeHeight="251667456" behindDoc="0" locked="0" layoutInCell="1" allowOverlap="1" wp14:anchorId="04DD41F3" wp14:editId="61AAF6A2">
                <wp:simplePos x="0" y="0"/>
                <wp:positionH relativeFrom="column">
                  <wp:posOffset>-12700</wp:posOffset>
                </wp:positionH>
                <wp:positionV relativeFrom="paragraph">
                  <wp:posOffset>382270</wp:posOffset>
                </wp:positionV>
                <wp:extent cx="9677400" cy="19431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9677400" cy="1943100"/>
                        </a:xfrm>
                        <a:prstGeom prst="rect">
                          <a:avLst/>
                        </a:prstGeom>
                        <a:solidFill>
                          <a:srgbClr val="00A8A8"/>
                        </a:solidFill>
                        <a:ln w="6350">
                          <a:solidFill>
                            <a:srgbClr val="00A8A8"/>
                          </a:solidFill>
                        </a:ln>
                      </wps:spPr>
                      <wps:txbx>
                        <w:txbxContent>
                          <w:p w14:paraId="04D07EED" w14:textId="77777777" w:rsidR="009C67CC" w:rsidRPr="009C67CC" w:rsidRDefault="009C67CC" w:rsidP="009C67CC">
                            <w:pPr>
                              <w:rPr>
                                <w:b/>
                                <w:bCs/>
                                <w:color w:val="FFFFFF" w:themeColor="background1"/>
                                <w:sz w:val="28"/>
                                <w:szCs w:val="28"/>
                              </w:rPr>
                            </w:pPr>
                            <w:r w:rsidRPr="009C67CC">
                              <w:rPr>
                                <w:b/>
                                <w:bCs/>
                                <w:color w:val="FFFFFF" w:themeColor="background1"/>
                                <w:sz w:val="28"/>
                                <w:szCs w:val="28"/>
                              </w:rPr>
                              <w:t>Evaluating the Evidence: Example Reflective Questions (Education Engagement)</w:t>
                            </w:r>
                          </w:p>
                          <w:p w14:paraId="4DA1F14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there education engagement evidence to support value of embedded careers across the curriculum?</w:t>
                            </w:r>
                          </w:p>
                          <w:p w14:paraId="58B25748"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What evidence exists to show increased educational engagement following careers activities for cohorts, specific groups or for individuals?</w:t>
                            </w:r>
                          </w:p>
                          <w:p w14:paraId="4CCB563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Has a particular initiative/activity been effective in improving educational engagement?</w:t>
                            </w:r>
                          </w:p>
                          <w:p w14:paraId="2FB7A638" w14:textId="77777777" w:rsidR="009C67CC" w:rsidRPr="009C67CC" w:rsidRDefault="009C67CC" w:rsidP="007908CE">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 Careers Leader aware of where the need is in educational engagement so that careers activity/interventions can be planned to support cohorts, specific groups or individual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DD41F3" id="Text Box 15" o:spid="_x0000_s1028" type="#_x0000_t202" style="position:absolute;margin-left:-1pt;margin-top:30.1pt;width:762pt;height:1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" fillcolor="#00a8a8" strokecolor="#00a8a8" strokeweight=".5pt">
                <v:textbox>
                  <w:txbxContent>
                    <w:p w14:paraId="04D07EED" w14:textId="77777777" w:rsidR="009C67CC" w:rsidRPr="009C67CC" w:rsidRDefault="009C67CC" w:rsidP="009C67CC">
                      <w:pPr>
                        <w:rPr>
                          <w:b/>
                          <w:bCs/>
                          <w:color w:val="FFFFFF" w:themeColor="background1"/>
                          <w:sz w:val="28"/>
                          <w:szCs w:val="28"/>
                        </w:rPr>
                      </w:pPr>
                      <w:r w:rsidRPr="009C67CC">
                        <w:rPr>
                          <w:b/>
                          <w:bCs/>
                          <w:color w:val="FFFFFF" w:themeColor="background1"/>
                          <w:sz w:val="28"/>
                          <w:szCs w:val="28"/>
                        </w:rPr>
                        <w:t>Evaluating the Evidence: Example Reflective Questions (Education Engagement)</w:t>
                      </w:r>
                    </w:p>
                    <w:p w14:paraId="4DA1F14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there education engagement evidence to support value of embedded careers across the curriculum?</w:t>
                      </w:r>
                    </w:p>
                    <w:p w14:paraId="58B25748"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What evidence exists to show increased educational engagement following careers activities for cohorts, specific groups or for individuals?</w:t>
                      </w:r>
                    </w:p>
                    <w:p w14:paraId="4CCB563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Has a particular initiative/activity been effective in improving educational engagement?</w:t>
                      </w:r>
                    </w:p>
                    <w:p w14:paraId="2FB7A638" w14:textId="77777777" w:rsidR="009C67CC" w:rsidRPr="009C67CC" w:rsidRDefault="009C67CC" w:rsidP="007908CE">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 Careers Leader aware of where the need is in educational engagement so that careers activity/interventions can be planned to support cohorts, specific groups or individual students?</w:t>
                      </w:r>
                    </w:p>
                  </w:txbxContent>
                </v:textbox>
              </v:shape>
            </w:pict>
          </mc:Fallback>
        </mc:AlternateContent>
      </w:r>
      <w:r w:rsidR="00136A20" w:rsidRPr="009A366B">
        <w:br w:type="page"/>
      </w:r>
    </w:p>
    <w:p w14:paraId="614A7D4D" w14:textId="50A766D5" w:rsidR="00CC4B24" w:rsidRPr="009A366B" w:rsidRDefault="00530E19" w:rsidP="00CC4B24">
      <w:pPr>
        <w:numPr>
          <w:ilvl w:val="0"/>
          <w:numId w:val="8"/>
        </w:numPr>
        <w:rPr>
          <w:b/>
          <w:bCs/>
          <w:color w:val="00A8A8"/>
          <w:sz w:val="28"/>
          <w:szCs w:val="28"/>
        </w:rPr>
      </w:pPr>
      <w:r w:rsidRPr="009A366B">
        <w:rPr>
          <w:b/>
          <w:bCs/>
          <w:color w:val="00A8A8"/>
          <w:sz w:val="28"/>
          <w:szCs w:val="28"/>
        </w:rPr>
        <w:lastRenderedPageBreak/>
        <w:t>Destinations data</w:t>
      </w:r>
    </w:p>
    <w:p w14:paraId="344B3454" w14:textId="77777777" w:rsidR="00530E19" w:rsidRPr="009A366B" w:rsidRDefault="00530E19" w:rsidP="00530E19">
      <w:pPr>
        <w:rPr>
          <w:b/>
          <w:bCs/>
          <w:color w:val="404040" w:themeColor="text1" w:themeTint="BF"/>
          <w:sz w:val="28"/>
          <w:szCs w:val="28"/>
        </w:rPr>
      </w:pPr>
      <w:r w:rsidRPr="01356CBB">
        <w:rPr>
          <w:b/>
          <w:bCs/>
          <w:color w:val="404040" w:themeColor="text1" w:themeTint="BF"/>
          <w:sz w:val="28"/>
          <w:szCs w:val="28"/>
        </w:rPr>
        <w:t>What does it cover?</w:t>
      </w:r>
    </w:p>
    <w:p w14:paraId="44233A48" w14:textId="2866C0AD" w:rsidR="00530E19" w:rsidRPr="009A366B" w:rsidRDefault="00530E19" w:rsidP="01356CBB">
      <w:pPr>
        <w:pStyle w:val="ListParagraph"/>
        <w:numPr>
          <w:ilvl w:val="0"/>
          <w:numId w:val="16"/>
        </w:numPr>
        <w:rPr>
          <w:rFonts w:asciiTheme="minorHAnsi" w:eastAsiaTheme="minorEastAsia" w:hAnsiTheme="minorHAnsi" w:cstheme="minorBidi"/>
          <w:color w:val="404040" w:themeColor="text1" w:themeTint="BF"/>
          <w:sz w:val="24"/>
          <w:szCs w:val="24"/>
        </w:rPr>
      </w:pPr>
      <w:r w:rsidRPr="01356CBB">
        <w:rPr>
          <w:rFonts w:asciiTheme="minorHAnsi" w:hAnsiTheme="minorHAnsi"/>
          <w:color w:val="404040" w:themeColor="text1" w:themeTint="BF"/>
          <w:sz w:val="24"/>
          <w:szCs w:val="24"/>
        </w:rPr>
        <w:t>Intended destinations: student plans before they leave school or college</w:t>
      </w:r>
      <w:r w:rsidR="00CC4B24" w:rsidRPr="01356CBB">
        <w:rPr>
          <w:rFonts w:asciiTheme="minorHAnsi" w:hAnsiTheme="minorHAnsi"/>
          <w:color w:val="404040" w:themeColor="text1" w:themeTint="BF"/>
          <w:sz w:val="24"/>
          <w:szCs w:val="24"/>
        </w:rPr>
        <w:t>.</w:t>
      </w:r>
    </w:p>
    <w:p w14:paraId="167FA5BD" w14:textId="42673841"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Actual destination: where students transition to</w:t>
      </w:r>
      <w:r w:rsidR="00CC4B24" w:rsidRPr="009A366B">
        <w:rPr>
          <w:rFonts w:asciiTheme="minorHAnsi" w:hAnsiTheme="minorHAnsi"/>
          <w:color w:val="404040" w:themeColor="text1" w:themeTint="BF"/>
          <w:sz w:val="24"/>
          <w:szCs w:val="24"/>
        </w:rPr>
        <w:t>.</w:t>
      </w:r>
    </w:p>
    <w:p w14:paraId="3A06055F" w14:textId="677EDA08"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Sustained destinations: the pathway students are in for the 6 months between October and March after leaving school</w:t>
      </w:r>
      <w:r w:rsidR="00CC4B24" w:rsidRPr="009A366B">
        <w:rPr>
          <w:rFonts w:asciiTheme="minorHAnsi" w:hAnsiTheme="minorHAnsi"/>
          <w:color w:val="404040" w:themeColor="text1" w:themeTint="BF"/>
          <w:sz w:val="24"/>
          <w:szCs w:val="24"/>
        </w:rPr>
        <w:t>.</w:t>
      </w:r>
    </w:p>
    <w:p w14:paraId="1408F2D1" w14:textId="116DC0B5"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Subjects, </w:t>
      </w:r>
      <w:r w:rsidR="00CC4B24" w:rsidRPr="009A366B">
        <w:rPr>
          <w:rFonts w:asciiTheme="minorHAnsi" w:hAnsiTheme="minorHAnsi"/>
          <w:color w:val="404040" w:themeColor="text1" w:themeTint="BF"/>
          <w:sz w:val="24"/>
          <w:szCs w:val="24"/>
        </w:rPr>
        <w:t>pathways,</w:t>
      </w:r>
      <w:r w:rsidRPr="009A366B">
        <w:rPr>
          <w:rFonts w:asciiTheme="minorHAnsi" w:hAnsiTheme="minorHAnsi"/>
          <w:color w:val="404040" w:themeColor="text1" w:themeTint="BF"/>
          <w:sz w:val="24"/>
          <w:szCs w:val="24"/>
        </w:rPr>
        <w:t xml:space="preserve"> and institutions: more detail about the where and what students are learning</w:t>
      </w:r>
      <w:r w:rsidR="00CC4B24" w:rsidRPr="009A366B">
        <w:rPr>
          <w:rFonts w:asciiTheme="minorHAnsi" w:hAnsiTheme="minorHAnsi"/>
          <w:color w:val="404040" w:themeColor="text1" w:themeTint="BF"/>
          <w:sz w:val="24"/>
          <w:szCs w:val="24"/>
        </w:rPr>
        <w:t>.</w:t>
      </w:r>
    </w:p>
    <w:p w14:paraId="34673689" w14:textId="20B99AF0" w:rsidR="00846684" w:rsidRDefault="00846684" w:rsidP="00CC4B24">
      <w:pPr>
        <w:pStyle w:val="ListParagraph"/>
        <w:rPr>
          <w:rFonts w:asciiTheme="minorHAnsi" w:hAnsiTheme="minorHAnsi"/>
          <w:color w:val="404040" w:themeColor="text1" w:themeTint="BF"/>
          <w:sz w:val="28"/>
          <w:szCs w:val="28"/>
        </w:rPr>
      </w:pPr>
      <w:r>
        <w:rPr>
          <w:rFonts w:asciiTheme="minorHAnsi" w:hAnsiTheme="minorHAnsi"/>
          <w:noProof/>
          <w:color w:val="404040" w:themeColor="text1" w:themeTint="BF"/>
          <w:sz w:val="28"/>
          <w:szCs w:val="28"/>
        </w:rPr>
        <mc:AlternateContent>
          <mc:Choice Requires="wps">
            <w:drawing>
              <wp:anchor distT="0" distB="0" distL="114300" distR="114300" simplePos="0" relativeHeight="251665408" behindDoc="0" locked="0" layoutInCell="1" allowOverlap="1" wp14:anchorId="01F052FD" wp14:editId="0B799EC4">
                <wp:simplePos x="0" y="0"/>
                <wp:positionH relativeFrom="column">
                  <wp:posOffset>-177800</wp:posOffset>
                </wp:positionH>
                <wp:positionV relativeFrom="paragraph">
                  <wp:posOffset>142875</wp:posOffset>
                </wp:positionV>
                <wp:extent cx="9960610" cy="22987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9960610" cy="2298700"/>
                        </a:xfrm>
                        <a:prstGeom prst="rect">
                          <a:avLst/>
                        </a:prstGeom>
                        <a:solidFill>
                          <a:srgbClr val="00A8A8"/>
                        </a:solidFill>
                        <a:ln w="6350">
                          <a:solidFill>
                            <a:srgbClr val="00A8A8"/>
                          </a:solidFill>
                        </a:ln>
                      </wps:spPr>
                      <wps:txbx>
                        <w:txbxContent>
                          <w:p w14:paraId="40262BC9" w14:textId="77777777" w:rsidR="00846684" w:rsidRPr="00846684" w:rsidRDefault="00846684" w:rsidP="00846684">
                            <w:pPr>
                              <w:rPr>
                                <w:b/>
                                <w:bCs/>
                                <w:color w:val="FFFFFF" w:themeColor="background1"/>
                                <w:sz w:val="28"/>
                                <w:szCs w:val="28"/>
                              </w:rPr>
                            </w:pPr>
                            <w:r w:rsidRPr="00846684">
                              <w:rPr>
                                <w:b/>
                                <w:bCs/>
                                <w:color w:val="FFFFFF" w:themeColor="background1"/>
                                <w:sz w:val="28"/>
                                <w:szCs w:val="28"/>
                              </w:rPr>
                              <w:t>Careers Statutory Guidance: Schools</w:t>
                            </w:r>
                          </w:p>
                          <w:p w14:paraId="136A8C19"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collect and maintain accurate data for each pupil on their education or employment destinations for at least three years after </w:t>
                            </w:r>
                            <w:hyperlink r:id="rId40" w:history="1">
                              <w:r w:rsidRPr="00846684">
                                <w:rPr>
                                  <w:rStyle w:val="Hyperlink"/>
                                  <w:rFonts w:asciiTheme="minorHAnsi" w:hAnsiTheme="minorHAnsi"/>
                                  <w:color w:val="FFFFFF" w:themeColor="background1"/>
                                  <w:sz w:val="24"/>
                                  <w:szCs w:val="24"/>
                                </w:rPr>
                                <w:t>they leave school, or from the end of KS4, whichever is sooner</w:t>
                              </w:r>
                            </w:hyperlink>
                            <w:r w:rsidRPr="00846684">
                              <w:rPr>
                                <w:rStyle w:val="Hyperlink"/>
                                <w:rFonts w:asciiTheme="minorHAnsi" w:hAnsiTheme="minorHAnsi"/>
                                <w:color w:val="FFFFFF" w:themeColor="background1"/>
                                <w:sz w:val="24"/>
                                <w:szCs w:val="24"/>
                              </w:rPr>
                              <w:t xml:space="preserve"> </w:t>
                            </w:r>
                          </w:p>
                          <w:p w14:paraId="798D58E5"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work with their local authority as they collect and collate destinations data and establish an effective data-sharing agreement. </w:t>
                            </w:r>
                          </w:p>
                          <w:p w14:paraId="3E9843C6"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Reflection: Does your school have a system in place for tracking students’ destinations for 3 years post KS4? </w:t>
                            </w:r>
                          </w:p>
                          <w:p w14:paraId="726CE30F" w14:textId="77777777" w:rsidR="00846684" w:rsidRPr="00846684" w:rsidRDefault="00846684" w:rsidP="00846684">
                            <w:pPr>
                              <w:rPr>
                                <w:color w:val="FFFFFF" w:themeColor="background1"/>
                                <w:sz w:val="24"/>
                                <w:szCs w:val="24"/>
                              </w:rPr>
                            </w:pPr>
                          </w:p>
                          <w:p w14:paraId="096F75A7" w14:textId="12F9C7EA" w:rsidR="00846684" w:rsidRPr="00846684" w:rsidRDefault="00846684" w:rsidP="00846684">
                            <w:pPr>
                              <w:ind w:left="360"/>
                              <w:rPr>
                                <w:color w:val="FFFFFF" w:themeColor="background1"/>
                                <w:sz w:val="24"/>
                                <w:szCs w:val="24"/>
                              </w:rPr>
                            </w:pPr>
                            <w:r w:rsidRPr="00846684">
                              <w:rPr>
                                <w:color w:val="FFFFFF" w:themeColor="background1"/>
                                <w:sz w:val="24"/>
                                <w:szCs w:val="24"/>
                              </w:rPr>
                              <w:t>We know that the collection of destination data can be challenging for schools. DfE intend to update their good practice guide, providing clearer guidance on the lawful basis for processing students destinations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F052FD" id="Text Box 5" o:spid="_x0000_s1029" type="#_x0000_t202" style="position:absolute;left:0;text-align:left;margin-left:-14pt;margin-top:11.25pt;width:784.3pt;height:1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" fillcolor="#00a8a8" strokecolor="#00a8a8" strokeweight=".5pt">
                <v:textbox>
                  <w:txbxContent>
                    <w:p w14:paraId="40262BC9" w14:textId="77777777" w:rsidR="00846684" w:rsidRPr="00846684" w:rsidRDefault="00846684" w:rsidP="00846684">
                      <w:pPr>
                        <w:rPr>
                          <w:b/>
                          <w:bCs/>
                          <w:color w:val="FFFFFF" w:themeColor="background1"/>
                          <w:sz w:val="28"/>
                          <w:szCs w:val="28"/>
                        </w:rPr>
                      </w:pPr>
                      <w:r w:rsidRPr="00846684">
                        <w:rPr>
                          <w:b/>
                          <w:bCs/>
                          <w:color w:val="FFFFFF" w:themeColor="background1"/>
                          <w:sz w:val="28"/>
                          <w:szCs w:val="28"/>
                        </w:rPr>
                        <w:t>Careers Statutory Guidance: Schools</w:t>
                      </w:r>
                    </w:p>
                    <w:p w14:paraId="136A8C19"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collect and maintain accurate data for each pupil on their education or employment destinations for at least three years after </w:t>
                      </w:r>
                      <w:hyperlink r:id="rId41" w:history="1">
                        <w:r w:rsidRPr="00846684">
                          <w:rPr>
                            <w:rStyle w:val="Hyperlink"/>
                            <w:rFonts w:asciiTheme="minorHAnsi" w:hAnsiTheme="minorHAnsi"/>
                            <w:color w:val="FFFFFF" w:themeColor="background1"/>
                            <w:sz w:val="24"/>
                            <w:szCs w:val="24"/>
                          </w:rPr>
                          <w:t>they leave school, or from the end of KS4, whichever is sooner</w:t>
                        </w:r>
                      </w:hyperlink>
                      <w:r w:rsidRPr="00846684">
                        <w:rPr>
                          <w:rStyle w:val="Hyperlink"/>
                          <w:rFonts w:asciiTheme="minorHAnsi" w:hAnsiTheme="minorHAnsi"/>
                          <w:color w:val="FFFFFF" w:themeColor="background1"/>
                          <w:sz w:val="24"/>
                          <w:szCs w:val="24"/>
                        </w:rPr>
                        <w:t xml:space="preserve"> </w:t>
                      </w:r>
                    </w:p>
                    <w:p w14:paraId="798D58E5"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work with their local authority as they collect and collate destinations data and establish an effective data-sharing agreement. </w:t>
                      </w:r>
                    </w:p>
                    <w:p w14:paraId="3E9843C6"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Reflection: Does your school have a system in place for tracking students’ destinations for 3 years post KS4? </w:t>
                      </w:r>
                    </w:p>
                    <w:p w14:paraId="726CE30F" w14:textId="77777777" w:rsidR="00846684" w:rsidRPr="00846684" w:rsidRDefault="00846684" w:rsidP="00846684">
                      <w:pPr>
                        <w:rPr>
                          <w:color w:val="FFFFFF" w:themeColor="background1"/>
                          <w:sz w:val="24"/>
                          <w:szCs w:val="24"/>
                        </w:rPr>
                      </w:pPr>
                    </w:p>
                    <w:p w14:paraId="096F75A7" w14:textId="12F9C7EA" w:rsidR="00846684" w:rsidRPr="00846684" w:rsidRDefault="00846684" w:rsidP="00846684">
                      <w:pPr>
                        <w:ind w:left="360"/>
                        <w:rPr>
                          <w:color w:val="FFFFFF" w:themeColor="background1"/>
                          <w:sz w:val="24"/>
                          <w:szCs w:val="24"/>
                        </w:rPr>
                      </w:pPr>
                      <w:r w:rsidRPr="00846684">
                        <w:rPr>
                          <w:color w:val="FFFFFF" w:themeColor="background1"/>
                          <w:sz w:val="24"/>
                          <w:szCs w:val="24"/>
                        </w:rPr>
                        <w:t>We know that the collection of destination data can be challenging for schools. DfE intend to update their good practice guide, providing clearer guidance on the lawful basis for processing students destinations data</w:t>
                      </w:r>
                    </w:p>
                  </w:txbxContent>
                </v:textbox>
              </v:shape>
            </w:pict>
          </mc:Fallback>
        </mc:AlternateContent>
      </w:r>
    </w:p>
    <w:p w14:paraId="0DCB2740" w14:textId="0EC62363" w:rsidR="00846684" w:rsidRDefault="00846684" w:rsidP="00CC4B24">
      <w:pPr>
        <w:pStyle w:val="ListParagraph"/>
        <w:rPr>
          <w:rFonts w:asciiTheme="minorHAnsi" w:hAnsiTheme="minorHAnsi"/>
          <w:color w:val="404040" w:themeColor="text1" w:themeTint="BF"/>
          <w:sz w:val="28"/>
          <w:szCs w:val="28"/>
        </w:rPr>
      </w:pPr>
    </w:p>
    <w:p w14:paraId="2C281F9F" w14:textId="33EFA665" w:rsidR="00846684" w:rsidRDefault="00846684" w:rsidP="00CC4B24">
      <w:pPr>
        <w:pStyle w:val="ListParagraph"/>
        <w:rPr>
          <w:rFonts w:asciiTheme="minorHAnsi" w:hAnsiTheme="minorHAnsi"/>
          <w:color w:val="404040" w:themeColor="text1" w:themeTint="BF"/>
          <w:sz w:val="28"/>
          <w:szCs w:val="28"/>
        </w:rPr>
      </w:pPr>
    </w:p>
    <w:p w14:paraId="03BB53B1" w14:textId="609073DC" w:rsidR="00846684" w:rsidRDefault="00846684" w:rsidP="00CC4B24">
      <w:pPr>
        <w:pStyle w:val="ListParagraph"/>
        <w:rPr>
          <w:rFonts w:asciiTheme="minorHAnsi" w:hAnsiTheme="minorHAnsi"/>
          <w:color w:val="404040" w:themeColor="text1" w:themeTint="BF"/>
          <w:sz w:val="28"/>
          <w:szCs w:val="28"/>
        </w:rPr>
      </w:pPr>
    </w:p>
    <w:p w14:paraId="26EEA02D" w14:textId="0C80140D" w:rsidR="00CC4B24" w:rsidRPr="009A366B" w:rsidRDefault="00CC4B24" w:rsidP="00CC4B24">
      <w:pPr>
        <w:pStyle w:val="ListParagraph"/>
        <w:rPr>
          <w:rFonts w:asciiTheme="minorHAnsi" w:hAnsiTheme="minorHAnsi"/>
          <w:color w:val="404040" w:themeColor="text1" w:themeTint="BF"/>
          <w:sz w:val="28"/>
          <w:szCs w:val="28"/>
        </w:rPr>
      </w:pPr>
    </w:p>
    <w:p w14:paraId="7D73A09F" w14:textId="5A5B0387" w:rsidR="00CC4B24" w:rsidRDefault="00CC4B24" w:rsidP="00C728B6">
      <w:pPr>
        <w:rPr>
          <w:color w:val="404040" w:themeColor="text1" w:themeTint="BF"/>
          <w:sz w:val="28"/>
          <w:szCs w:val="28"/>
        </w:rPr>
      </w:pPr>
    </w:p>
    <w:p w14:paraId="56667C06" w14:textId="33C5BD8D" w:rsidR="00846684" w:rsidRDefault="00846684" w:rsidP="00C728B6">
      <w:pPr>
        <w:rPr>
          <w:color w:val="404040" w:themeColor="text1" w:themeTint="BF"/>
          <w:sz w:val="28"/>
          <w:szCs w:val="28"/>
        </w:rPr>
      </w:pPr>
    </w:p>
    <w:p w14:paraId="7F8996B9" w14:textId="5C683A8E" w:rsidR="00846684" w:rsidRDefault="00846684" w:rsidP="00C728B6">
      <w:pPr>
        <w:rPr>
          <w:color w:val="404040" w:themeColor="text1" w:themeTint="BF"/>
          <w:sz w:val="28"/>
          <w:szCs w:val="28"/>
        </w:rPr>
      </w:pPr>
    </w:p>
    <w:p w14:paraId="259B4376" w14:textId="36D0F0FD" w:rsidR="00846684" w:rsidRPr="00C728B6" w:rsidRDefault="00846684" w:rsidP="00C728B6">
      <w:pPr>
        <w:rPr>
          <w:color w:val="404040" w:themeColor="text1" w:themeTint="BF"/>
          <w:sz w:val="28"/>
          <w:szCs w:val="28"/>
        </w:rPr>
      </w:pPr>
    </w:p>
    <w:p w14:paraId="1F34DE20" w14:textId="2007065B" w:rsidR="00422163" w:rsidRPr="009A366B" w:rsidRDefault="005F1F09" w:rsidP="00530E19">
      <w:pPr>
        <w:rPr>
          <w:b/>
          <w:bCs/>
          <w:color w:val="404040" w:themeColor="text1" w:themeTint="BF"/>
          <w:sz w:val="28"/>
          <w:szCs w:val="28"/>
        </w:rPr>
      </w:pPr>
      <w:r w:rsidRPr="009A366B">
        <w:rPr>
          <w:b/>
          <w:bCs/>
          <w:color w:val="404040" w:themeColor="text1" w:themeTint="BF"/>
          <w:sz w:val="28"/>
          <w:szCs w:val="28"/>
        </w:rPr>
        <w:t xml:space="preserve">CEC Resources and Support: </w:t>
      </w:r>
    </w:p>
    <w:p w14:paraId="347A3EF0" w14:textId="42FB7615" w:rsidR="00422163" w:rsidRPr="009A366B" w:rsidRDefault="005F1F09" w:rsidP="00530E19">
      <w:pPr>
        <w:rPr>
          <w:color w:val="404040" w:themeColor="text1" w:themeTint="BF"/>
          <w:sz w:val="24"/>
          <w:szCs w:val="24"/>
        </w:rPr>
      </w:pPr>
      <w:r w:rsidRPr="009A366B">
        <w:rPr>
          <w:color w:val="404040" w:themeColor="text1" w:themeTint="BF"/>
          <w:sz w:val="24"/>
          <w:szCs w:val="24"/>
        </w:rPr>
        <w:t xml:space="preserve">Engage with your local authority and FE providers to collect and collate destinations data and establish an effective data- sharing agreement: </w:t>
      </w:r>
    </w:p>
    <w:p w14:paraId="6CE48380" w14:textId="71C1C139" w:rsidR="00422163" w:rsidRPr="009A366B" w:rsidRDefault="005F1F09" w:rsidP="01356CBB">
      <w:pPr>
        <w:pStyle w:val="ListParagraph"/>
        <w:numPr>
          <w:ilvl w:val="0"/>
          <w:numId w:val="19"/>
        </w:numPr>
        <w:rPr>
          <w:rFonts w:asciiTheme="minorHAnsi" w:hAnsiTheme="minorHAnsi"/>
          <w:color w:val="404040" w:themeColor="text1" w:themeTint="BF"/>
          <w:sz w:val="24"/>
          <w:szCs w:val="24"/>
        </w:rPr>
      </w:pPr>
      <w:r w:rsidRPr="01356CBB">
        <w:rPr>
          <w:rFonts w:asciiTheme="minorHAnsi" w:hAnsiTheme="minorHAnsi"/>
          <w:color w:val="404040" w:themeColor="text1" w:themeTint="BF"/>
          <w:sz w:val="24"/>
          <w:szCs w:val="24"/>
        </w:rPr>
        <w:t>Re</w:t>
      </w:r>
      <w:r w:rsidR="69F3E2E4" w:rsidRPr="01356CBB">
        <w:rPr>
          <w:rFonts w:asciiTheme="minorHAnsi" w:hAnsiTheme="minorHAnsi"/>
          <w:color w:val="404040" w:themeColor="text1" w:themeTint="BF"/>
          <w:sz w:val="24"/>
          <w:szCs w:val="24"/>
        </w:rPr>
        <w:t>ad</w:t>
      </w:r>
      <w:r w:rsidRPr="01356CBB">
        <w:rPr>
          <w:rFonts w:asciiTheme="minorHAnsi" w:hAnsiTheme="minorHAnsi"/>
          <w:color w:val="404040" w:themeColor="text1" w:themeTint="BF"/>
          <w:sz w:val="24"/>
          <w:szCs w:val="24"/>
        </w:rPr>
        <w:t xml:space="preserve"> our published report ‘</w:t>
      </w:r>
      <w:hyperlink r:id="rId42" w:history="1">
        <w:r w:rsidRPr="01356CBB">
          <w:rPr>
            <w:rStyle w:val="Hyperlink"/>
            <w:rFonts w:asciiTheme="minorHAnsi" w:hAnsiTheme="minorHAnsi"/>
            <w:sz w:val="24"/>
            <w:szCs w:val="24"/>
          </w:rPr>
          <w:t>Review of local destinations data’</w:t>
        </w:r>
      </w:hyperlink>
      <w:r w:rsidR="009A366B" w:rsidRPr="01356CBB">
        <w:rPr>
          <w:rFonts w:asciiTheme="minorHAnsi" w:hAnsiTheme="minorHAnsi"/>
          <w:color w:val="404040" w:themeColor="text1" w:themeTint="BF"/>
          <w:sz w:val="24"/>
          <w:szCs w:val="24"/>
        </w:rPr>
        <w:t>.</w:t>
      </w:r>
    </w:p>
    <w:p w14:paraId="2E77F495" w14:textId="01A07C01" w:rsidR="00422163" w:rsidRPr="009A366B" w:rsidRDefault="005F1F09" w:rsidP="01356CBB">
      <w:pPr>
        <w:pStyle w:val="ListParagraph"/>
        <w:numPr>
          <w:ilvl w:val="0"/>
          <w:numId w:val="19"/>
        </w:numPr>
        <w:rPr>
          <w:rFonts w:asciiTheme="minorHAnsi" w:hAnsiTheme="minorHAnsi"/>
          <w:color w:val="404040" w:themeColor="text1" w:themeTint="BF"/>
          <w:sz w:val="24"/>
          <w:szCs w:val="24"/>
        </w:rPr>
      </w:pPr>
      <w:r w:rsidRPr="01356CBB">
        <w:rPr>
          <w:rFonts w:asciiTheme="minorHAnsi" w:hAnsiTheme="minorHAnsi"/>
          <w:color w:val="404040" w:themeColor="text1" w:themeTint="BF"/>
          <w:sz w:val="24"/>
          <w:szCs w:val="24"/>
        </w:rPr>
        <w:t>Read our report ‘</w:t>
      </w:r>
      <w:hyperlink r:id="rId43" w:history="1">
        <w:r w:rsidRPr="01356CBB">
          <w:rPr>
            <w:rStyle w:val="Hyperlink"/>
            <w:rFonts w:asciiTheme="minorHAnsi" w:hAnsiTheme="minorHAnsi"/>
            <w:sz w:val="24"/>
            <w:szCs w:val="24"/>
          </w:rPr>
          <w:t>The benefits of Gatsby Benchmark achievement for post-16 destinations’</w:t>
        </w:r>
      </w:hyperlink>
      <w:r w:rsidR="009A366B" w:rsidRPr="01356CBB">
        <w:rPr>
          <w:rFonts w:asciiTheme="minorHAnsi" w:hAnsiTheme="minorHAnsi"/>
          <w:color w:val="404040" w:themeColor="text1" w:themeTint="BF"/>
          <w:sz w:val="24"/>
          <w:szCs w:val="24"/>
        </w:rPr>
        <w:t>.</w:t>
      </w:r>
    </w:p>
    <w:p w14:paraId="76C34FF8" w14:textId="0C9A0B5B" w:rsidR="33140B14" w:rsidRPr="00C728B6" w:rsidRDefault="33140B14" w:rsidP="01356CBB">
      <w:pPr>
        <w:pStyle w:val="ListParagraph"/>
        <w:numPr>
          <w:ilvl w:val="0"/>
          <w:numId w:val="19"/>
        </w:numPr>
        <w:rPr>
          <w:color w:val="404040" w:themeColor="text1" w:themeTint="BF"/>
          <w:sz w:val="24"/>
          <w:szCs w:val="24"/>
        </w:rPr>
      </w:pPr>
      <w:r w:rsidRPr="00C728B6">
        <w:rPr>
          <w:rFonts w:asciiTheme="minorHAnsi" w:hAnsiTheme="minorHAnsi"/>
          <w:color w:val="404040" w:themeColor="text1" w:themeTint="BF"/>
          <w:sz w:val="24"/>
          <w:szCs w:val="24"/>
        </w:rPr>
        <w:t xml:space="preserve">Read our case study </w:t>
      </w:r>
      <w:hyperlink r:id="rId44" w:history="1">
        <w:r w:rsidR="40BBF4B8" w:rsidRPr="005809A7">
          <w:rPr>
            <w:rStyle w:val="Hyperlink"/>
            <w:rFonts w:asciiTheme="minorHAnsi" w:hAnsiTheme="minorHAnsi" w:cstheme="minorHAnsi"/>
            <w:sz w:val="24"/>
            <w:szCs w:val="24"/>
          </w:rPr>
          <w:t>‘School Destination Report 19/20 Example’</w:t>
        </w:r>
      </w:hyperlink>
      <w:r w:rsidR="40BBF4B8" w:rsidRPr="00C728B6">
        <w:rPr>
          <w:color w:val="404040" w:themeColor="text1" w:themeTint="BF"/>
        </w:rPr>
        <w:t xml:space="preserve"> </w:t>
      </w:r>
    </w:p>
    <w:p w14:paraId="7F5A3FA2" w14:textId="1028410A" w:rsidR="005F1F09" w:rsidRPr="009A366B" w:rsidRDefault="005F1F09" w:rsidP="00CC4B24">
      <w:pPr>
        <w:pStyle w:val="ListParagraph"/>
        <w:numPr>
          <w:ilvl w:val="0"/>
          <w:numId w:val="19"/>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Encourage your Careers Leader to use the destination tracking function on </w:t>
      </w:r>
      <w:hyperlink r:id="rId45" w:history="1">
        <w:r w:rsidRPr="005809A7">
          <w:rPr>
            <w:rStyle w:val="Hyperlink"/>
            <w:rFonts w:asciiTheme="minorHAnsi" w:hAnsiTheme="minorHAnsi"/>
            <w:sz w:val="24"/>
            <w:szCs w:val="24"/>
          </w:rPr>
          <w:t>Compass</w:t>
        </w:r>
        <w:r w:rsidR="2009682A" w:rsidRPr="005809A7">
          <w:rPr>
            <w:rStyle w:val="Hyperlink"/>
            <w:rFonts w:asciiTheme="minorHAnsi" w:hAnsiTheme="minorHAnsi"/>
            <w:sz w:val="24"/>
            <w:szCs w:val="24"/>
          </w:rPr>
          <w:t>+</w:t>
        </w:r>
        <w:r w:rsidR="49A4F26B" w:rsidRPr="005809A7">
          <w:rPr>
            <w:rStyle w:val="Hyperlink"/>
            <w:rFonts w:asciiTheme="minorHAnsi" w:hAnsiTheme="minorHAnsi"/>
            <w:sz w:val="24"/>
            <w:szCs w:val="24"/>
          </w:rPr>
          <w:t>.</w:t>
        </w:r>
      </w:hyperlink>
    </w:p>
    <w:p w14:paraId="5BF3090C" w14:textId="228B0AA8" w:rsidR="00667A66" w:rsidRPr="009A366B" w:rsidRDefault="00667A66" w:rsidP="00667A66">
      <w:pPr>
        <w:rPr>
          <w:b/>
          <w:bCs/>
          <w:color w:val="404040" w:themeColor="text1" w:themeTint="BF"/>
          <w:sz w:val="28"/>
          <w:szCs w:val="28"/>
        </w:rPr>
      </w:pPr>
      <w:r w:rsidRPr="009A366B">
        <w:rPr>
          <w:b/>
          <w:bCs/>
          <w:color w:val="404040" w:themeColor="text1" w:themeTint="BF"/>
          <w:sz w:val="28"/>
          <w:szCs w:val="28"/>
        </w:rPr>
        <w:lastRenderedPageBreak/>
        <w:t>Careers Statutory Guidance: Colleges</w:t>
      </w:r>
    </w:p>
    <w:p w14:paraId="02181838" w14:textId="2671E39A" w:rsidR="00CA3106" w:rsidRDefault="00CA3106" w:rsidP="01356CBB">
      <w:pPr>
        <w:rPr>
          <w:rFonts w:eastAsia="Montserrat" w:cs="Montserrat"/>
          <w:color w:val="404040" w:themeColor="text1" w:themeTint="BF"/>
          <w:sz w:val="24"/>
          <w:szCs w:val="24"/>
        </w:rPr>
      </w:pPr>
      <w:r w:rsidRPr="01356CBB">
        <w:rPr>
          <w:color w:val="404040" w:themeColor="text1" w:themeTint="BF"/>
          <w:sz w:val="24"/>
          <w:szCs w:val="24"/>
        </w:rPr>
        <w:t xml:space="preserve">Colleges should collect and maintain accurate data for each pupil on their education, </w:t>
      </w:r>
      <w:r w:rsidR="00CC4B24" w:rsidRPr="01356CBB">
        <w:rPr>
          <w:color w:val="404040" w:themeColor="text1" w:themeTint="BF"/>
          <w:sz w:val="24"/>
          <w:szCs w:val="24"/>
        </w:rPr>
        <w:t>training,</w:t>
      </w:r>
      <w:r w:rsidRPr="01356CBB">
        <w:rPr>
          <w:color w:val="404040" w:themeColor="text1" w:themeTint="BF"/>
          <w:sz w:val="24"/>
          <w:szCs w:val="24"/>
        </w:rPr>
        <w:t xml:space="preserve"> or employment destinations. </w:t>
      </w:r>
    </w:p>
    <w:p w14:paraId="08C48685" w14:textId="77777777" w:rsidR="009A366B" w:rsidRPr="009A366B" w:rsidRDefault="009A366B" w:rsidP="00667A66">
      <w:pPr>
        <w:rPr>
          <w:color w:val="404040" w:themeColor="text1" w:themeTint="BF"/>
          <w:sz w:val="24"/>
          <w:szCs w:val="24"/>
        </w:rPr>
      </w:pPr>
    </w:p>
    <w:p w14:paraId="0EACBFD7" w14:textId="77777777" w:rsidR="009A366B" w:rsidRDefault="009A366B" w:rsidP="00667A66">
      <w:pPr>
        <w:rPr>
          <w:b/>
          <w:bCs/>
          <w:color w:val="00A8A8"/>
          <w:sz w:val="28"/>
          <w:szCs w:val="28"/>
        </w:rPr>
      </w:pPr>
      <w:r>
        <w:rPr>
          <w:b/>
          <w:bCs/>
          <w:noProof/>
          <w:color w:val="00A8A8"/>
          <w:sz w:val="28"/>
          <w:szCs w:val="28"/>
        </w:rPr>
        <w:drawing>
          <wp:inline distT="0" distB="0" distL="0" distR="0" wp14:anchorId="38EE167D" wp14:editId="1A5FB5AA">
            <wp:extent cx="711200" cy="7112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p>
    <w:p w14:paraId="0AEB4E0C" w14:textId="1448442B" w:rsidR="00CC4B24" w:rsidRDefault="00CA3106" w:rsidP="00667A66">
      <w:pPr>
        <w:rPr>
          <w:b/>
          <w:bCs/>
          <w:color w:val="00A8A8"/>
          <w:sz w:val="28"/>
          <w:szCs w:val="28"/>
        </w:rPr>
      </w:pPr>
      <w:r w:rsidRPr="009A366B">
        <w:rPr>
          <w:b/>
          <w:bCs/>
          <w:color w:val="00A8A8"/>
          <w:sz w:val="28"/>
          <w:szCs w:val="28"/>
        </w:rPr>
        <w:t xml:space="preserve">Reflection: Does your college have a system in </w:t>
      </w:r>
      <w:r w:rsidR="009A366B" w:rsidRPr="009A366B">
        <w:rPr>
          <w:b/>
          <w:bCs/>
          <w:color w:val="00A8A8"/>
          <w:sz w:val="28"/>
          <w:szCs w:val="28"/>
        </w:rPr>
        <w:br/>
      </w:r>
      <w:r w:rsidRPr="009A366B">
        <w:rPr>
          <w:b/>
          <w:bCs/>
          <w:color w:val="00A8A8"/>
          <w:sz w:val="28"/>
          <w:szCs w:val="28"/>
        </w:rPr>
        <w:t xml:space="preserve">place for tracking students’ destinations? </w:t>
      </w:r>
    </w:p>
    <w:p w14:paraId="2454B550" w14:textId="77777777" w:rsidR="00CC4B24" w:rsidRPr="009A366B" w:rsidRDefault="00CC4B24" w:rsidP="00530E19">
      <w:pPr>
        <w:rPr>
          <w:color w:val="404040" w:themeColor="text1" w:themeTint="BF"/>
          <w:sz w:val="28"/>
          <w:szCs w:val="28"/>
        </w:rPr>
      </w:pPr>
    </w:p>
    <w:p w14:paraId="36580595" w14:textId="1B945384"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destinations data?</w:t>
      </w:r>
    </w:p>
    <w:p w14:paraId="69DAEDCF" w14:textId="78AF0948" w:rsidR="00530E19" w:rsidRPr="00E140FE" w:rsidRDefault="00530E19" w:rsidP="00530E19">
      <w:pPr>
        <w:rPr>
          <w:color w:val="404040" w:themeColor="text1" w:themeTint="BF"/>
          <w:sz w:val="24"/>
          <w:szCs w:val="24"/>
        </w:rPr>
      </w:pPr>
      <w:r w:rsidRPr="00E140FE">
        <w:rPr>
          <w:color w:val="404040" w:themeColor="text1" w:themeTint="BF"/>
          <w:sz w:val="24"/>
          <w:szCs w:val="24"/>
        </w:rPr>
        <w:t>Gatsby Benchmark 3</w:t>
      </w:r>
      <w:r w:rsidR="00F66B2A" w:rsidRPr="00E140FE">
        <w:rPr>
          <w:color w:val="404040" w:themeColor="text1" w:themeTint="BF"/>
          <w:sz w:val="24"/>
          <w:szCs w:val="24"/>
        </w:rPr>
        <w:t xml:space="preserve"> </w:t>
      </w:r>
      <w:r w:rsidRPr="00E140FE">
        <w:rPr>
          <w:color w:val="404040" w:themeColor="text1" w:themeTint="BF"/>
          <w:sz w:val="24"/>
          <w:szCs w:val="24"/>
        </w:rPr>
        <w:t>requires schools to collect the destinations of students for 3 years after they finish Key Stage 4. Colleges are required to track the destinations of their students, with a minimum requirement to record their onward destination.</w:t>
      </w:r>
    </w:p>
    <w:p w14:paraId="6E0414FA" w14:textId="568C9B42" w:rsidR="007718BE" w:rsidRPr="00E140FE" w:rsidRDefault="007718BE" w:rsidP="00530E19">
      <w:pPr>
        <w:rPr>
          <w:color w:val="404040" w:themeColor="text1" w:themeTint="BF"/>
          <w:sz w:val="24"/>
          <w:szCs w:val="24"/>
        </w:rPr>
      </w:pPr>
      <w:r w:rsidRPr="00E140FE">
        <w:rPr>
          <w:color w:val="404040" w:themeColor="text1" w:themeTint="BF"/>
          <w:sz w:val="24"/>
          <w:szCs w:val="24"/>
        </w:rPr>
        <w:t xml:space="preserve">Schools and colleges should collect and analyse education, </w:t>
      </w:r>
      <w:r w:rsidR="00640F4E" w:rsidRPr="00E140FE">
        <w:rPr>
          <w:color w:val="404040" w:themeColor="text1" w:themeTint="BF"/>
          <w:sz w:val="24"/>
          <w:szCs w:val="24"/>
        </w:rPr>
        <w:t>training,</w:t>
      </w:r>
      <w:r w:rsidRPr="00E140FE">
        <w:rPr>
          <w:color w:val="404040" w:themeColor="text1" w:themeTint="BF"/>
          <w:sz w:val="24"/>
          <w:szCs w:val="24"/>
        </w:rPr>
        <w:t xml:space="preserve"> and employment destinations data for all students. This data may help schools and colleges to identify pathways, subjects or courses with low take-up that could be addressed by changes to the careers programme.</w:t>
      </w:r>
    </w:p>
    <w:p w14:paraId="0EE1FF62" w14:textId="5E4FB46B" w:rsidR="00530E19" w:rsidRPr="00E140FE" w:rsidRDefault="00530E19" w:rsidP="00530E19">
      <w:pPr>
        <w:rPr>
          <w:color w:val="404040" w:themeColor="text1" w:themeTint="BF"/>
          <w:sz w:val="24"/>
          <w:szCs w:val="24"/>
        </w:rPr>
      </w:pPr>
      <w:r w:rsidRPr="00E140FE">
        <w:rPr>
          <w:color w:val="404040" w:themeColor="text1" w:themeTint="BF"/>
          <w:sz w:val="24"/>
          <w:szCs w:val="24"/>
        </w:rPr>
        <w:t>Compass+ provides a structure for schools to do this and colleges have separate systems. There are fields to record details about intended and actual destinations and some simple visualisations which will be further developed as the tool becomes established</w:t>
      </w:r>
      <w:r w:rsidR="00B7265E">
        <w:rPr>
          <w:color w:val="404040" w:themeColor="text1" w:themeTint="BF"/>
          <w:sz w:val="24"/>
          <w:szCs w:val="24"/>
        </w:rPr>
        <w:t>.</w:t>
      </w:r>
      <w:r w:rsidR="007F5FD0">
        <w:rPr>
          <w:color w:val="404040" w:themeColor="text1" w:themeTint="BF"/>
          <w:sz w:val="24"/>
          <w:szCs w:val="24"/>
        </w:rPr>
        <w:t xml:space="preserve"> For more information </w:t>
      </w:r>
      <w:r w:rsidR="00436E3A">
        <w:rPr>
          <w:color w:val="404040" w:themeColor="text1" w:themeTint="BF"/>
          <w:sz w:val="24"/>
          <w:szCs w:val="24"/>
        </w:rPr>
        <w:t>o</w:t>
      </w:r>
      <w:r w:rsidR="00B7265E">
        <w:rPr>
          <w:color w:val="404040" w:themeColor="text1" w:themeTint="BF"/>
          <w:sz w:val="24"/>
          <w:szCs w:val="24"/>
        </w:rPr>
        <w:t xml:space="preserve">n using these Compass+ visualisations, please click </w:t>
      </w:r>
      <w:hyperlink r:id="rId47" w:history="1">
        <w:r w:rsidR="00B7265E" w:rsidRPr="00B7265E">
          <w:rPr>
            <w:rStyle w:val="Hyperlink"/>
            <w:sz w:val="24"/>
            <w:szCs w:val="24"/>
          </w:rPr>
          <w:t>here</w:t>
        </w:r>
      </w:hyperlink>
      <w:r w:rsidR="00B7265E">
        <w:rPr>
          <w:color w:val="404040" w:themeColor="text1" w:themeTint="BF"/>
          <w:sz w:val="24"/>
          <w:szCs w:val="24"/>
        </w:rPr>
        <w:t xml:space="preserve">. </w:t>
      </w:r>
      <w:r w:rsidR="00436E3A">
        <w:rPr>
          <w:color w:val="404040" w:themeColor="text1" w:themeTint="BF"/>
          <w:sz w:val="24"/>
          <w:szCs w:val="24"/>
        </w:rPr>
        <w:t xml:space="preserve"> </w:t>
      </w:r>
    </w:p>
    <w:p w14:paraId="5B1A7AD5" w14:textId="4B1E08DF" w:rsidR="00222C5A" w:rsidRDefault="00222C5A" w:rsidP="4071E65C">
      <w:pPr>
        <w:rPr>
          <w:color w:val="000000" w:themeColor="text1"/>
          <w:sz w:val="24"/>
          <w:szCs w:val="24"/>
        </w:rPr>
      </w:pPr>
    </w:p>
    <w:p w14:paraId="5A47377D" w14:textId="389DE8BA" w:rsidR="006F3E32" w:rsidRDefault="006F3E32" w:rsidP="4071E65C">
      <w:pPr>
        <w:rPr>
          <w:color w:val="000000" w:themeColor="text1"/>
          <w:sz w:val="24"/>
          <w:szCs w:val="24"/>
        </w:rPr>
      </w:pPr>
    </w:p>
    <w:p w14:paraId="1CF5F8F2" w14:textId="77777777" w:rsidR="006F3E32" w:rsidRDefault="006F3E32" w:rsidP="4071E65C">
      <w:pPr>
        <w:rPr>
          <w:color w:val="000000" w:themeColor="text1"/>
          <w:sz w:val="24"/>
          <w:szCs w:val="24"/>
        </w:rPr>
      </w:pPr>
    </w:p>
    <w:p w14:paraId="6727A1E3" w14:textId="73E8F327" w:rsidR="001F3590" w:rsidRPr="00D3705C" w:rsidRDefault="7F7B4EA6" w:rsidP="001F3590">
      <w:pPr>
        <w:rPr>
          <w:color w:val="000000" w:themeColor="text1"/>
          <w:sz w:val="24"/>
          <w:szCs w:val="24"/>
        </w:rPr>
      </w:pPr>
      <w:r w:rsidRPr="00D3705C">
        <w:rPr>
          <w:color w:val="000000" w:themeColor="text1"/>
          <w:sz w:val="24"/>
          <w:szCs w:val="24"/>
        </w:rPr>
        <w:lastRenderedPageBreak/>
        <w:t>Key Stage 4</w:t>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3116F7">
        <w:rPr>
          <w:color w:val="000000" w:themeColor="text1"/>
          <w:sz w:val="24"/>
          <w:szCs w:val="24"/>
        </w:rPr>
        <w:t xml:space="preserve">   </w:t>
      </w:r>
      <w:r w:rsidR="001F3590" w:rsidRPr="00D3705C">
        <w:rPr>
          <w:color w:val="000000" w:themeColor="text1"/>
          <w:sz w:val="24"/>
          <w:szCs w:val="24"/>
        </w:rPr>
        <w:t>Key Stage 5</w:t>
      </w:r>
    </w:p>
    <w:p w14:paraId="7F2813B8" w14:textId="767A7E5E" w:rsidR="7F7B4EA6" w:rsidRPr="00D3705C" w:rsidRDefault="7F7B4EA6" w:rsidP="4071E65C">
      <w:pPr>
        <w:rPr>
          <w:color w:val="000000" w:themeColor="text1"/>
          <w:sz w:val="24"/>
          <w:szCs w:val="24"/>
        </w:rPr>
      </w:pPr>
    </w:p>
    <w:p w14:paraId="75F1E612" w14:textId="3948ADF6" w:rsidR="3A7BED51" w:rsidRDefault="4691D01A" w:rsidP="4071E65C">
      <w:r>
        <w:rPr>
          <w:noProof/>
        </w:rPr>
        <w:drawing>
          <wp:inline distT="0" distB="0" distL="0" distR="0" wp14:anchorId="1595D23C" wp14:editId="4BE917B7">
            <wp:extent cx="3454400" cy="2236662"/>
            <wp:effectExtent l="0" t="0" r="0" b="0"/>
            <wp:docPr id="495837794" name="Picture 49583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837794"/>
                    <pic:cNvPicPr/>
                  </pic:nvPicPr>
                  <pic:blipFill>
                    <a:blip r:embed="rId48" cstate="print">
                      <a:extLst>
                        <a:ext uri="{28A0092B-C50C-407E-A947-70E740481C1C}">
                          <a14:useLocalDpi xmlns:a14="http://schemas.microsoft.com/office/drawing/2010/main" val="0"/>
                        </a:ext>
                      </a:extLst>
                    </a:blip>
                    <a:srcRect l="13125"/>
                    <a:stretch>
                      <a:fillRect/>
                    </a:stretch>
                  </pic:blipFill>
                  <pic:spPr>
                    <a:xfrm>
                      <a:off x="0" y="0"/>
                      <a:ext cx="3470368" cy="2247001"/>
                    </a:xfrm>
                    <a:prstGeom prst="rect">
                      <a:avLst/>
                    </a:prstGeom>
                  </pic:spPr>
                </pic:pic>
              </a:graphicData>
            </a:graphic>
          </wp:inline>
        </w:drawing>
      </w:r>
      <w:r w:rsidR="001F3590">
        <w:t xml:space="preserve">                                                     </w:t>
      </w:r>
      <w:r w:rsidR="001F3590">
        <w:rPr>
          <w:noProof/>
        </w:rPr>
        <w:drawing>
          <wp:inline distT="0" distB="0" distL="0" distR="0" wp14:anchorId="55351C74" wp14:editId="03E01D18">
            <wp:extent cx="4338483" cy="2241550"/>
            <wp:effectExtent l="0" t="0" r="5080" b="0"/>
            <wp:docPr id="479862639" name="Picture 47986263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62639" name="Picture 479862639" descr="Graphical user interfac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423348" cy="2285397"/>
                    </a:xfrm>
                    <a:prstGeom prst="rect">
                      <a:avLst/>
                    </a:prstGeom>
                  </pic:spPr>
                </pic:pic>
              </a:graphicData>
            </a:graphic>
          </wp:inline>
        </w:drawing>
      </w:r>
    </w:p>
    <w:p w14:paraId="62386C19" w14:textId="77777777" w:rsidR="00222C5A" w:rsidRDefault="00222C5A" w:rsidP="4071E65C">
      <w:pPr>
        <w:rPr>
          <w:color w:val="000000" w:themeColor="text1"/>
          <w:sz w:val="24"/>
          <w:szCs w:val="24"/>
        </w:rPr>
      </w:pPr>
    </w:p>
    <w:p w14:paraId="03568B2A" w14:textId="76AE3F95" w:rsidR="00FF050B" w:rsidRPr="00E140FE" w:rsidRDefault="1EFCABB8" w:rsidP="00530E19">
      <w:pPr>
        <w:rPr>
          <w:color w:val="404040" w:themeColor="text1" w:themeTint="BF"/>
          <w:sz w:val="24"/>
          <w:szCs w:val="24"/>
        </w:rPr>
      </w:pPr>
      <w:r w:rsidRPr="01356CBB">
        <w:rPr>
          <w:color w:val="404040" w:themeColor="text1" w:themeTint="BF"/>
          <w:sz w:val="24"/>
          <w:szCs w:val="24"/>
        </w:rPr>
        <w:t xml:space="preserve">There is </w:t>
      </w:r>
      <w:r w:rsidR="7500B240" w:rsidRPr="01356CBB">
        <w:rPr>
          <w:color w:val="404040" w:themeColor="text1" w:themeTint="BF"/>
          <w:sz w:val="24"/>
          <w:szCs w:val="24"/>
        </w:rPr>
        <w:t xml:space="preserve">currently </w:t>
      </w:r>
      <w:r w:rsidRPr="01356CBB">
        <w:rPr>
          <w:color w:val="404040" w:themeColor="text1" w:themeTint="BF"/>
          <w:sz w:val="24"/>
          <w:szCs w:val="24"/>
        </w:rPr>
        <w:t xml:space="preserve">uncertainty as to the appropriate </w:t>
      </w:r>
      <w:hyperlink r:id="rId50">
        <w:r w:rsidRPr="01356CBB">
          <w:rPr>
            <w:rStyle w:val="Hyperlink"/>
            <w:color w:val="4472C4" w:themeColor="accent1"/>
            <w:sz w:val="24"/>
            <w:szCs w:val="24"/>
          </w:rPr>
          <w:t>lawful basis for processing</w:t>
        </w:r>
      </w:hyperlink>
      <w:r w:rsidRPr="01356CBB">
        <w:rPr>
          <w:color w:val="4472C4" w:themeColor="accent1"/>
          <w:sz w:val="24"/>
          <w:szCs w:val="24"/>
        </w:rPr>
        <w:t xml:space="preserve"> </w:t>
      </w:r>
      <w:r w:rsidRPr="01356CBB">
        <w:rPr>
          <w:color w:val="404040" w:themeColor="text1" w:themeTint="BF"/>
          <w:sz w:val="24"/>
          <w:szCs w:val="24"/>
        </w:rPr>
        <w:t xml:space="preserve">student destinations data. </w:t>
      </w:r>
      <w:r w:rsidR="00530E19" w:rsidRPr="01356CBB">
        <w:rPr>
          <w:color w:val="404040" w:themeColor="text1" w:themeTint="BF"/>
          <w:sz w:val="24"/>
          <w:szCs w:val="24"/>
        </w:rPr>
        <w:t xml:space="preserve">The DfE may clarify this in their forthcoming revised </w:t>
      </w:r>
      <w:hyperlink r:id="rId51">
        <w:r w:rsidRPr="01356CBB">
          <w:rPr>
            <w:rStyle w:val="Hyperlink"/>
            <w:color w:val="4472C4" w:themeColor="accent1"/>
            <w:sz w:val="24"/>
            <w:szCs w:val="24"/>
          </w:rPr>
          <w:t>good practice guide</w:t>
        </w:r>
      </w:hyperlink>
      <w:r w:rsidR="00530E19" w:rsidRPr="01356CBB">
        <w:rPr>
          <w:color w:val="404040" w:themeColor="text1" w:themeTint="BF"/>
          <w:sz w:val="24"/>
          <w:szCs w:val="24"/>
        </w:rPr>
        <w:t xml:space="preserve"> or they may leave it to each school, special school and college to determine with their Data Protection Officer. If the lawful basis is consent, then there are stipulations set out by the ICO that need to be followed. It may be possible to use another basis such as legitimate interest.</w:t>
      </w:r>
    </w:p>
    <w:p w14:paraId="533603E0" w14:textId="77777777" w:rsidR="00530EE5" w:rsidRPr="00E140FE" w:rsidRDefault="00783F5D" w:rsidP="00530EE5">
      <w:pPr>
        <w:rPr>
          <w:color w:val="404040" w:themeColor="text1" w:themeTint="BF"/>
          <w:sz w:val="24"/>
          <w:szCs w:val="24"/>
        </w:rPr>
      </w:pPr>
      <w:hyperlink r:id="rId52" w:history="1">
        <w:r w:rsidR="00530EE5" w:rsidRPr="00E140FE">
          <w:rPr>
            <w:rStyle w:val="Hyperlink"/>
            <w:color w:val="4472C4" w:themeColor="accent1"/>
            <w:sz w:val="24"/>
            <w:szCs w:val="24"/>
          </w:rPr>
          <w:t>Recent research</w:t>
        </w:r>
      </w:hyperlink>
      <w:r w:rsidR="00530EE5" w:rsidRPr="00E140FE">
        <w:rPr>
          <w:color w:val="404040" w:themeColor="text1" w:themeTint="BF"/>
          <w:sz w:val="24"/>
          <w:szCs w:val="24"/>
        </w:rPr>
        <w:t xml:space="preserve"> identified that schools and colleges use a range of approaches to collecting intended destinations including through personal guidance interviews or student questionnaires.</w:t>
      </w:r>
    </w:p>
    <w:p w14:paraId="55D397AA" w14:textId="0A840ED8" w:rsidR="00530E19" w:rsidRPr="00E140FE" w:rsidRDefault="00530E19" w:rsidP="00530E19">
      <w:pPr>
        <w:rPr>
          <w:color w:val="404040" w:themeColor="text1" w:themeTint="BF"/>
          <w:sz w:val="24"/>
          <w:szCs w:val="24"/>
        </w:rPr>
      </w:pPr>
      <w:r w:rsidRPr="00E140FE">
        <w:rPr>
          <w:color w:val="404040" w:themeColor="text1" w:themeTint="BF"/>
          <w:sz w:val="24"/>
          <w:szCs w:val="24"/>
        </w:rPr>
        <w:t xml:space="preserve">Actual destinations for </w:t>
      </w:r>
      <w:r w:rsidR="000B5CB5" w:rsidRPr="00E140FE">
        <w:rPr>
          <w:color w:val="404040" w:themeColor="text1" w:themeTint="BF"/>
          <w:sz w:val="24"/>
          <w:szCs w:val="24"/>
        </w:rPr>
        <w:t>16- and 17-year-olds</w:t>
      </w:r>
      <w:r w:rsidRPr="00E140FE">
        <w:rPr>
          <w:color w:val="404040" w:themeColor="text1" w:themeTint="BF"/>
          <w:sz w:val="24"/>
          <w:szCs w:val="24"/>
        </w:rPr>
        <w:t xml:space="preserve"> can be requested from Local Authorities who have a duty to collect this information to submit to the National Client Caseload Information System. It is not a statutory duty for LAs to share this information with </w:t>
      </w:r>
      <w:r w:rsidR="000B5CB5" w:rsidRPr="00E140FE">
        <w:rPr>
          <w:color w:val="404040" w:themeColor="text1" w:themeTint="BF"/>
          <w:sz w:val="24"/>
          <w:szCs w:val="24"/>
        </w:rPr>
        <w:t>schools,</w:t>
      </w:r>
      <w:r w:rsidRPr="00E140FE">
        <w:rPr>
          <w:color w:val="404040" w:themeColor="text1" w:themeTint="BF"/>
          <w:sz w:val="24"/>
          <w:szCs w:val="24"/>
        </w:rPr>
        <w:t xml:space="preserve"> but many areas do so under a Data Sharing Agreement.</w:t>
      </w:r>
    </w:p>
    <w:p w14:paraId="589E6D51" w14:textId="77777777" w:rsidR="001F3590" w:rsidRDefault="001F3590" w:rsidP="00530E19">
      <w:pPr>
        <w:rPr>
          <w:color w:val="404040" w:themeColor="text1" w:themeTint="BF"/>
          <w:sz w:val="24"/>
          <w:szCs w:val="24"/>
        </w:rPr>
      </w:pPr>
    </w:p>
    <w:p w14:paraId="316E4706" w14:textId="109C5610" w:rsidR="00530E19" w:rsidRPr="00E140FE" w:rsidRDefault="00530E19" w:rsidP="00530E19">
      <w:pPr>
        <w:rPr>
          <w:color w:val="404040" w:themeColor="text1" w:themeTint="BF"/>
          <w:sz w:val="24"/>
          <w:szCs w:val="24"/>
        </w:rPr>
      </w:pPr>
      <w:r w:rsidRPr="00E140FE">
        <w:rPr>
          <w:color w:val="404040" w:themeColor="text1" w:themeTint="BF"/>
          <w:sz w:val="24"/>
          <w:szCs w:val="24"/>
        </w:rPr>
        <w:lastRenderedPageBreak/>
        <w:t xml:space="preserve">Tracking destinations in the third year for </w:t>
      </w:r>
      <w:r w:rsidR="007D22BD" w:rsidRPr="00E140FE">
        <w:rPr>
          <w:color w:val="404040" w:themeColor="text1" w:themeTint="BF"/>
          <w:sz w:val="24"/>
          <w:szCs w:val="24"/>
        </w:rPr>
        <w:t>18-year-olds</w:t>
      </w:r>
      <w:r w:rsidRPr="00E140FE">
        <w:rPr>
          <w:color w:val="404040" w:themeColor="text1" w:themeTint="BF"/>
          <w:sz w:val="24"/>
          <w:szCs w:val="24"/>
        </w:rPr>
        <w:t xml:space="preserve"> is challenging. </w:t>
      </w:r>
      <w:r w:rsidR="003C4DA9" w:rsidRPr="00E140FE">
        <w:rPr>
          <w:color w:val="404040" w:themeColor="text1" w:themeTint="BF"/>
          <w:sz w:val="24"/>
          <w:szCs w:val="24"/>
        </w:rPr>
        <w:t>Schools and colleges</w:t>
      </w:r>
      <w:r w:rsidRPr="00E140FE">
        <w:rPr>
          <w:color w:val="404040" w:themeColor="text1" w:themeTint="BF"/>
          <w:sz w:val="24"/>
          <w:szCs w:val="24"/>
        </w:rPr>
        <w:t xml:space="preserve"> achieving this tend to use a range of approaches including social media, and alumni networks. </w:t>
      </w:r>
    </w:p>
    <w:p w14:paraId="511EA8E1" w14:textId="75CD73C5" w:rsidR="00E140FE" w:rsidRPr="00E140FE" w:rsidRDefault="00530E19" w:rsidP="00530E19">
      <w:pPr>
        <w:rPr>
          <w:color w:val="404040" w:themeColor="text1" w:themeTint="BF"/>
          <w:sz w:val="24"/>
          <w:szCs w:val="24"/>
        </w:rPr>
      </w:pPr>
      <w:r w:rsidRPr="00E140FE">
        <w:rPr>
          <w:color w:val="404040" w:themeColor="text1" w:themeTint="BF"/>
          <w:sz w:val="24"/>
          <w:szCs w:val="24"/>
        </w:rPr>
        <w:t>School and college level destinations data can also be accessed</w:t>
      </w:r>
      <w:r w:rsidR="001322F1" w:rsidRPr="00E140FE">
        <w:rPr>
          <w:color w:val="404040" w:themeColor="text1" w:themeTint="BF"/>
          <w:sz w:val="24"/>
          <w:szCs w:val="24"/>
        </w:rPr>
        <w:t xml:space="preserve"> </w:t>
      </w:r>
      <w:hyperlink r:id="rId53" w:history="1">
        <w:r w:rsidR="001322F1" w:rsidRPr="00E140FE">
          <w:rPr>
            <w:rStyle w:val="Hyperlink"/>
            <w:color w:val="4472C4" w:themeColor="accent1"/>
            <w:sz w:val="24"/>
            <w:szCs w:val="24"/>
          </w:rPr>
          <w:t>here</w:t>
        </w:r>
      </w:hyperlink>
      <w:r w:rsidRPr="00E140FE">
        <w:rPr>
          <w:color w:val="4472C4" w:themeColor="accent1"/>
          <w:sz w:val="24"/>
          <w:szCs w:val="24"/>
        </w:rPr>
        <w:t xml:space="preserve"> </w:t>
      </w:r>
      <w:r w:rsidRPr="00E140FE">
        <w:rPr>
          <w:color w:val="404040" w:themeColor="text1" w:themeTint="BF"/>
          <w:sz w:val="24"/>
          <w:szCs w:val="24"/>
        </w:rPr>
        <w:t xml:space="preserve">from the DfE website, following a time lag in data collation and preparation. </w:t>
      </w:r>
    </w:p>
    <w:p w14:paraId="20C9BA82" w14:textId="65DF3FCE" w:rsidR="00D27546" w:rsidRDefault="00E94FF1" w:rsidP="00C73ABC">
      <w:pP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124C6800" wp14:editId="7353E636">
                <wp:simplePos x="0" y="0"/>
                <wp:positionH relativeFrom="column">
                  <wp:posOffset>25400</wp:posOffset>
                </wp:positionH>
                <wp:positionV relativeFrom="paragraph">
                  <wp:posOffset>60325</wp:posOffset>
                </wp:positionV>
                <wp:extent cx="7277100" cy="330200"/>
                <wp:effectExtent l="12700" t="12700" r="25400" b="25400"/>
                <wp:wrapNone/>
                <wp:docPr id="1" name="Text Box 1">
                  <a:hlinkClick xmlns:a="http://schemas.openxmlformats.org/drawingml/2006/main" r:id="rId54"/>
                </wp:docPr>
                <wp:cNvGraphicFramePr/>
                <a:graphic xmlns:a="http://schemas.openxmlformats.org/drawingml/2006/main">
                  <a:graphicData uri="http://schemas.microsoft.com/office/word/2010/wordprocessingShape">
                    <wps:wsp>
                      <wps:cNvSpPr txBox="1"/>
                      <wps:spPr>
                        <a:xfrm>
                          <a:off x="0" y="0"/>
                          <a:ext cx="7277100" cy="330200"/>
                        </a:xfrm>
                        <a:prstGeom prst="rect">
                          <a:avLst/>
                        </a:prstGeom>
                        <a:solidFill>
                          <a:schemeClr val="lt1"/>
                        </a:solidFill>
                        <a:ln w="38100">
                          <a:solidFill>
                            <a:srgbClr val="00A8A8"/>
                          </a:solidFill>
                        </a:ln>
                      </wps:spPr>
                      <wps:txbx>
                        <w:txbxContent>
                          <w:p w14:paraId="75CF6D87" w14:textId="2BD75060" w:rsidR="00D27546" w:rsidRPr="00E94FF1" w:rsidRDefault="00E94FF1" w:rsidP="00E94FF1">
                            <w:pPr>
                              <w:spacing w:after="0" w:line="240" w:lineRule="auto"/>
                              <w:rPr>
                                <w:rFonts w:ascii="Calibri" w:eastAsia="Times New Roman" w:hAnsi="Calibri" w:cs="Calibri"/>
                                <w:b/>
                                <w:bCs/>
                                <w:color w:val="00A8A8"/>
                                <w:lang w:eastAsia="en-GB"/>
                              </w:rPr>
                            </w:pPr>
                            <w:r w:rsidRPr="00E94FF1">
                              <w:rPr>
                                <w:rFonts w:ascii="Calibri" w:eastAsia="Times New Roman" w:hAnsi="Calibri" w:cs="Calibri"/>
                                <w:b/>
                                <w:bCs/>
                                <w:color w:val="00A8A8"/>
                                <w:shd w:val="clear" w:color="auto" w:fill="FFFFFF"/>
                                <w:lang w:eastAsia="en-GB"/>
                              </w:rPr>
                              <w:t xml:space="preserve">Please access our </w:t>
                            </w:r>
                            <w:hyperlink r:id="rId55" w:history="1">
                              <w:r w:rsidR="00D27546" w:rsidRPr="00E94FF1">
                                <w:rPr>
                                  <w:rStyle w:val="Hyperlink"/>
                                  <w:rFonts w:ascii="Calibri" w:hAnsi="Calibri" w:cs="Calibri"/>
                                  <w:b/>
                                  <w:bCs/>
                                  <w:color w:val="00A8A8"/>
                                </w:rPr>
                                <w:t>Resource Directory</w:t>
                              </w:r>
                            </w:hyperlink>
                            <w:r w:rsidR="00D27546" w:rsidRPr="00E94FF1">
                              <w:rPr>
                                <w:rFonts w:ascii="Calibri" w:hAnsi="Calibri" w:cs="Calibri"/>
                                <w:b/>
                                <w:bCs/>
                                <w:color w:val="00A8A8"/>
                              </w:rPr>
                              <w:t xml:space="preserve"> for additional Resource and Support with collecting and reviewing Destination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6800" id="Text Box 1" o:spid="_x0000_s1030" type="#_x0000_t202" href="https://resources.careersandenterprise.co.uk/" style="position:absolute;margin-left:2pt;margin-top:4.75pt;width:573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" o:button="t" fillcolor="white [3201]" strokecolor="#00a8a8" strokeweight="3pt">
                <v:fill o:detectmouseclick="t"/>
                <v:textbox>
                  <w:txbxContent>
                    <w:p w14:paraId="75CF6D87" w14:textId="2BD75060" w:rsidR="00D27546" w:rsidRPr="00E94FF1" w:rsidRDefault="00E94FF1" w:rsidP="00E94FF1">
                      <w:pPr>
                        <w:spacing w:after="0" w:line="240" w:lineRule="auto"/>
                        <w:rPr>
                          <w:rFonts w:ascii="Calibri" w:eastAsia="Times New Roman" w:hAnsi="Calibri" w:cs="Calibri"/>
                          <w:b/>
                          <w:bCs/>
                          <w:color w:val="00A8A8"/>
                          <w:lang w:eastAsia="en-GB"/>
                        </w:rPr>
                      </w:pPr>
                      <w:r w:rsidRPr="00E94FF1">
                        <w:rPr>
                          <w:rFonts w:ascii="Calibri" w:eastAsia="Times New Roman" w:hAnsi="Calibri" w:cs="Calibri"/>
                          <w:b/>
                          <w:bCs/>
                          <w:color w:val="00A8A8"/>
                          <w:shd w:val="clear" w:color="auto" w:fill="FFFFFF"/>
                          <w:lang w:eastAsia="en-GB"/>
                        </w:rPr>
                        <w:t xml:space="preserve">Please access our </w:t>
                      </w:r>
                      <w:hyperlink r:id="rId56" w:history="1">
                        <w:r w:rsidR="00D27546" w:rsidRPr="00E94FF1">
                          <w:rPr>
                            <w:rStyle w:val="Hyperlink"/>
                            <w:rFonts w:ascii="Calibri" w:hAnsi="Calibri" w:cs="Calibri"/>
                            <w:b/>
                            <w:bCs/>
                            <w:color w:val="00A8A8"/>
                          </w:rPr>
                          <w:t>Resource Directory</w:t>
                        </w:r>
                      </w:hyperlink>
                      <w:r w:rsidR="00D27546" w:rsidRPr="00E94FF1">
                        <w:rPr>
                          <w:rFonts w:ascii="Calibri" w:hAnsi="Calibri" w:cs="Calibri"/>
                          <w:b/>
                          <w:bCs/>
                          <w:color w:val="00A8A8"/>
                        </w:rPr>
                        <w:t xml:space="preserve"> for additional Resource and Support with collecting and reviewing Destination Data </w:t>
                      </w:r>
                    </w:p>
                  </w:txbxContent>
                </v:textbox>
              </v:shape>
            </w:pict>
          </mc:Fallback>
        </mc:AlternateContent>
      </w:r>
    </w:p>
    <w:p w14:paraId="193B7C68" w14:textId="6F211D9D" w:rsidR="00E94FF1" w:rsidRDefault="00FB36B6" w:rsidP="00C73ABC">
      <w:pPr>
        <w:rPr>
          <w:b/>
          <w:bCs/>
          <w:color w:val="404040" w:themeColor="text1" w:themeTint="BF"/>
          <w:sz w:val="28"/>
          <w:szCs w:val="28"/>
        </w:rPr>
      </w:pPr>
      <w:r>
        <w:rPr>
          <w:b/>
          <w:bCs/>
          <w:noProof/>
          <w:color w:val="404040" w:themeColor="text1" w:themeTint="BF"/>
          <w:sz w:val="28"/>
          <w:szCs w:val="28"/>
        </w:rPr>
        <mc:AlternateContent>
          <mc:Choice Requires="wps">
            <w:drawing>
              <wp:anchor distT="0" distB="0" distL="114300" distR="114300" simplePos="0" relativeHeight="251668480" behindDoc="0" locked="0" layoutInCell="1" allowOverlap="1" wp14:anchorId="72A6B434" wp14:editId="146B68BE">
                <wp:simplePos x="0" y="0"/>
                <wp:positionH relativeFrom="column">
                  <wp:posOffset>25400</wp:posOffset>
                </wp:positionH>
                <wp:positionV relativeFrom="paragraph">
                  <wp:posOffset>270510</wp:posOffset>
                </wp:positionV>
                <wp:extent cx="9626600" cy="29464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9626600" cy="2946400"/>
                        </a:xfrm>
                        <a:prstGeom prst="rect">
                          <a:avLst/>
                        </a:prstGeom>
                        <a:solidFill>
                          <a:srgbClr val="00A8A8"/>
                        </a:solidFill>
                        <a:ln w="6350">
                          <a:solidFill>
                            <a:srgbClr val="00A8A8"/>
                          </a:solidFill>
                        </a:ln>
                      </wps:spPr>
                      <wps:txbx>
                        <w:txbxContent>
                          <w:p w14:paraId="7525F623" w14:textId="77777777" w:rsidR="00F94B15" w:rsidRPr="00FB36B6" w:rsidRDefault="00F94B15" w:rsidP="00F94B15">
                            <w:pPr>
                              <w:rPr>
                                <w:b/>
                                <w:bCs/>
                                <w:color w:val="FFFFFF" w:themeColor="background1"/>
                                <w:sz w:val="28"/>
                                <w:szCs w:val="28"/>
                              </w:rPr>
                            </w:pPr>
                            <w:r w:rsidRPr="00FB36B6">
                              <w:rPr>
                                <w:b/>
                                <w:bCs/>
                                <w:color w:val="FFFFFF" w:themeColor="background1"/>
                                <w:sz w:val="28"/>
                                <w:szCs w:val="28"/>
                              </w:rPr>
                              <w:t>Evaluating the Evidence: Example Reflective Questions (Destinations Data)</w:t>
                            </w:r>
                          </w:p>
                          <w:p w14:paraId="4C60975F"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To what extent do students have an appropriate intended destination as they approach the end of school, special school, or college? Are there any cohorts, specific groups or individual students who require additional support?</w:t>
                            </w:r>
                          </w:p>
                          <w:p w14:paraId="309BFEB0"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Is intended level of study aligned to student attainment?</w:t>
                            </w:r>
                          </w:p>
                          <w:p w14:paraId="6B868458" w14:textId="6379C59A" w:rsidR="00F94B15" w:rsidRPr="00FB36B6" w:rsidRDefault="00F94B15" w:rsidP="00D73E70">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gaps according to disadvantage, gender, or ethnicity gaps in intended or actual pathways including technical education, higher education, STEM, etc.?</w:t>
                            </w:r>
                          </w:p>
                          <w:p w14:paraId="168FFB45" w14:textId="0130F5CF"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 re there gaps according to disadvantage, gender, or ethnicity gaps in outcomes three years after leaving school including technical education, higher education, STEM, etc.?</w:t>
                            </w:r>
                          </w:p>
                          <w:p w14:paraId="2CA74C33"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trends in NEET and EET in relation to the careers programme and/or changes made to the careers programme?</w:t>
                            </w:r>
                          </w:p>
                          <w:p w14:paraId="29231AF8"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intended destinations aligned with local skills needs and national growth sectors?</w:t>
                            </w:r>
                          </w:p>
                          <w:p w14:paraId="519E9BDB" w14:textId="42CE58C9" w:rsidR="00166FBA" w:rsidRPr="00FB36B6" w:rsidRDefault="00166FBA" w:rsidP="00166FBA">
                            <w:pPr>
                              <w:pStyle w:val="ListParagraph"/>
                              <w:rPr>
                                <w:rFonts w:asciiTheme="minorHAnsi" w:hAnsiTheme="minorHAns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A6B434" id="Text Box 16" o:spid="_x0000_s1031" type="#_x0000_t202" style="position:absolute;margin-left:2pt;margin-top:21.3pt;width:758pt;height:2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" fillcolor="#00a8a8" strokecolor="#00a8a8" strokeweight=".5pt">
                <v:textbox>
                  <w:txbxContent>
                    <w:p w14:paraId="7525F623" w14:textId="77777777" w:rsidR="00F94B15" w:rsidRPr="00FB36B6" w:rsidRDefault="00F94B15" w:rsidP="00F94B15">
                      <w:pPr>
                        <w:rPr>
                          <w:b/>
                          <w:bCs/>
                          <w:color w:val="FFFFFF" w:themeColor="background1"/>
                          <w:sz w:val="28"/>
                          <w:szCs w:val="28"/>
                        </w:rPr>
                      </w:pPr>
                      <w:r w:rsidRPr="00FB36B6">
                        <w:rPr>
                          <w:b/>
                          <w:bCs/>
                          <w:color w:val="FFFFFF" w:themeColor="background1"/>
                          <w:sz w:val="28"/>
                          <w:szCs w:val="28"/>
                        </w:rPr>
                        <w:t>Evaluating the Evidence: Example Reflective Questions (Destinations Data)</w:t>
                      </w:r>
                    </w:p>
                    <w:p w14:paraId="4C60975F"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To what extent do students have an appropriate intended destination as they approach the end of school, special school, or college? Are there any cohorts, specific groups or individual students who require additional support?</w:t>
                      </w:r>
                    </w:p>
                    <w:p w14:paraId="309BFEB0"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Is intended level of study aligned to student attainment?</w:t>
                      </w:r>
                    </w:p>
                    <w:p w14:paraId="6B868458" w14:textId="6379C59A" w:rsidR="00F94B15" w:rsidRPr="00FB36B6" w:rsidRDefault="00F94B15" w:rsidP="00D73E70">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gaps according to disadvantage, gender, or ethnicity gaps in intended or actual pathways including technical education, higher education, STEM, etc.?</w:t>
                      </w:r>
                    </w:p>
                    <w:p w14:paraId="168FFB45" w14:textId="0130F5CF"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 re there gaps according to disadvantage, gender, or ethnicity gaps in outcomes three years after leaving school including technical education, higher education, STEM, etc.?</w:t>
                      </w:r>
                    </w:p>
                    <w:p w14:paraId="2CA74C33"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trends in NEET and EET in relation to the careers programme and/or changes made to the careers programme?</w:t>
                      </w:r>
                    </w:p>
                    <w:p w14:paraId="29231AF8"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intended destinations aligned with local skills needs and national growth sectors?</w:t>
                      </w:r>
                    </w:p>
                    <w:p w14:paraId="519E9BDB" w14:textId="42CE58C9" w:rsidR="00166FBA" w:rsidRPr="00FB36B6" w:rsidRDefault="00166FBA" w:rsidP="00166FBA">
                      <w:pPr>
                        <w:pStyle w:val="ListParagraph"/>
                        <w:rPr>
                          <w:rFonts w:asciiTheme="minorHAnsi" w:hAnsiTheme="minorHAnsi"/>
                          <w:color w:val="FFFFFF" w:themeColor="background1"/>
                          <w:sz w:val="24"/>
                          <w:szCs w:val="24"/>
                        </w:rPr>
                      </w:pPr>
                    </w:p>
                  </w:txbxContent>
                </v:textbox>
              </v:shape>
            </w:pict>
          </mc:Fallback>
        </mc:AlternateContent>
      </w:r>
    </w:p>
    <w:p w14:paraId="648DA0FE" w14:textId="66CC3FA1" w:rsidR="00E94FF1" w:rsidRDefault="00E94FF1" w:rsidP="00C73ABC">
      <w:pPr>
        <w:rPr>
          <w:b/>
          <w:bCs/>
          <w:color w:val="404040" w:themeColor="text1" w:themeTint="BF"/>
          <w:sz w:val="28"/>
          <w:szCs w:val="28"/>
        </w:rPr>
      </w:pPr>
    </w:p>
    <w:p w14:paraId="1DA2A0AE" w14:textId="184A22AE" w:rsidR="0067463E" w:rsidRDefault="0067463E" w:rsidP="00C73ABC">
      <w:pPr>
        <w:rPr>
          <w:b/>
          <w:bCs/>
          <w:color w:val="404040" w:themeColor="text1" w:themeTint="BF"/>
          <w:sz w:val="28"/>
          <w:szCs w:val="28"/>
        </w:rPr>
      </w:pPr>
    </w:p>
    <w:p w14:paraId="70F765AA" w14:textId="77777777" w:rsidR="00E94FF1" w:rsidRDefault="00E94FF1" w:rsidP="00C73ABC">
      <w:pPr>
        <w:rPr>
          <w:b/>
          <w:bCs/>
          <w:color w:val="404040" w:themeColor="text1" w:themeTint="BF"/>
          <w:sz w:val="28"/>
          <w:szCs w:val="28"/>
        </w:rPr>
      </w:pPr>
    </w:p>
    <w:p w14:paraId="20AB5C3A" w14:textId="77777777" w:rsidR="00FB36B6" w:rsidRDefault="00FB36B6" w:rsidP="00FB36B6">
      <w:pPr>
        <w:rPr>
          <w:rFonts w:cstheme="minorHAnsi"/>
          <w:b/>
          <w:bCs/>
          <w:color w:val="00A8A8"/>
          <w:sz w:val="24"/>
          <w:szCs w:val="24"/>
        </w:rPr>
      </w:pPr>
    </w:p>
    <w:p w14:paraId="6174B4CC" w14:textId="4D91FCDD" w:rsidR="00954AFB" w:rsidRPr="00FB36B6" w:rsidRDefault="00FB36B6" w:rsidP="00FB36B6">
      <w:pPr>
        <w:ind w:firstLine="720"/>
        <w:rPr>
          <w:rFonts w:cstheme="minorHAnsi"/>
          <w:b/>
          <w:bCs/>
          <w:color w:val="00A8A8"/>
          <w:sz w:val="24"/>
          <w:szCs w:val="24"/>
        </w:rPr>
      </w:pPr>
      <w:r>
        <w:rPr>
          <w:rFonts w:cstheme="minorHAnsi"/>
          <w:b/>
          <w:bCs/>
          <w:noProof/>
          <w:color w:val="00A8A8"/>
          <w:sz w:val="24"/>
          <w:szCs w:val="24"/>
        </w:rPr>
        <w:lastRenderedPageBreak/>
        <w:drawing>
          <wp:anchor distT="0" distB="0" distL="114300" distR="114300" simplePos="0" relativeHeight="251662336" behindDoc="1" locked="0" layoutInCell="1" allowOverlap="1" wp14:anchorId="3CC97CD5" wp14:editId="5813BBB6">
            <wp:simplePos x="0" y="0"/>
            <wp:positionH relativeFrom="column">
              <wp:posOffset>-140970</wp:posOffset>
            </wp:positionH>
            <wp:positionV relativeFrom="paragraph">
              <wp:posOffset>-27305</wp:posOffset>
            </wp:positionV>
            <wp:extent cx="497205" cy="497205"/>
            <wp:effectExtent l="0" t="0" r="0" b="0"/>
            <wp:wrapNone/>
            <wp:docPr id="4" name="Picture 4"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icon, circl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D29A659" wp14:editId="6CE3BA63">
                <wp:simplePos x="0" y="0"/>
                <wp:positionH relativeFrom="column">
                  <wp:posOffset>6184900</wp:posOffset>
                </wp:positionH>
                <wp:positionV relativeFrom="paragraph">
                  <wp:posOffset>281305</wp:posOffset>
                </wp:positionV>
                <wp:extent cx="3517900" cy="2794000"/>
                <wp:effectExtent l="38100" t="381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517900" cy="2794000"/>
                        </a:xfrm>
                        <a:prstGeom prst="rect">
                          <a:avLst/>
                        </a:prstGeom>
                        <a:solidFill>
                          <a:srgbClr val="00A8A8"/>
                        </a:solidFill>
                        <a:ln w="76200">
                          <a:solidFill>
                            <a:srgbClr val="00A8A8"/>
                          </a:solidFill>
                        </a:ln>
                      </wps:spPr>
                      <wps:txbx>
                        <w:txbxContent>
                          <w:p w14:paraId="4D2DEE4D" w14:textId="77777777" w:rsidR="00EC6179" w:rsidRPr="00EC6179" w:rsidRDefault="00EC6179" w:rsidP="00EC6179">
                            <w:pPr>
                              <w:pStyle w:val="CommentText"/>
                              <w:rPr>
                                <w:color w:val="FFFFFF" w:themeColor="background1"/>
                                <w:sz w:val="28"/>
                                <w:szCs w:val="28"/>
                                <w14:textOutline w14:w="9525" w14:cap="rnd" w14:cmpd="sng" w14:algn="ctr">
                                  <w14:noFill/>
                                  <w14:prstDash w14:val="solid"/>
                                  <w14:bevel/>
                                </w14:textOutline>
                              </w:rPr>
                            </w:pPr>
                            <w:r w:rsidRPr="00EC6179">
                              <w:rPr>
                                <w:color w:val="FFFFFF" w:themeColor="background1"/>
                                <w:sz w:val="28"/>
                                <w:szCs w:val="28"/>
                                <w14:textOutline w14:w="9525" w14:cap="rnd" w14:cmpd="sng" w14:algn="ctr">
                                  <w14:noFill/>
                                  <w14:prstDash w14:val="solid"/>
                                  <w14:bevel/>
                                </w14:textOutline>
                              </w:rPr>
                              <w:t>“Embedded in our self-evaluation I want to know how destinations at 16 relate to student attainment and prior attainment. Where trends have emerged that reflect low aspiration or potential issues around stereotypical thinking, we address that in our curriculum and our Careers Leader builds this into future planning to continuously strengthen destinations and therefore life chances for our students” </w:t>
                            </w:r>
                          </w:p>
                          <w:p w14:paraId="72D82513" w14:textId="2450DCA8" w:rsidR="00EC6179" w:rsidRPr="00EC6179" w:rsidRDefault="00EC6179" w:rsidP="00EC6179">
                            <w:pPr>
                              <w:pStyle w:val="CommentText"/>
                              <w:rPr>
                                <w:color w:val="FFFFFF" w:themeColor="background1"/>
                                <w:sz w:val="24"/>
                                <w:szCs w:val="24"/>
                                <w14:textOutline w14:w="9525" w14:cap="rnd" w14:cmpd="sng" w14:algn="ctr">
                                  <w14:noFill/>
                                  <w14:prstDash w14:val="solid"/>
                                  <w14:bevel/>
                                </w14:textOutline>
                              </w:rPr>
                            </w:pPr>
                            <w:r w:rsidRPr="00EC6179">
                              <w:rPr>
                                <w:b/>
                                <w:bCs/>
                                <w:color w:val="FFFFFF" w:themeColor="background1"/>
                                <w:sz w:val="24"/>
                                <w:szCs w:val="24"/>
                                <w14:textOutline w14:w="9525" w14:cap="rnd" w14:cmpd="sng" w14:algn="ctr">
                                  <w14:noFill/>
                                  <w14:prstDash w14:val="solid"/>
                                  <w14:bevel/>
                                </w14:textOutline>
                              </w:rPr>
                              <w:t>Dawn Parkinson, Headteacher Beaumont Leys School</w:t>
                            </w:r>
                          </w:p>
                          <w:p w14:paraId="6B73219D" w14:textId="77777777" w:rsidR="00EC6179" w:rsidRPr="00EC6179" w:rsidRDefault="00EC6179">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A659" id="Text Box 10" o:spid="_x0000_s1032" type="#_x0000_t202" style="position:absolute;left:0;text-align:left;margin-left:487pt;margin-top:22.15pt;width:277pt;height:2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" fillcolor="#00a8a8" strokecolor="#00a8a8" strokeweight="6pt">
                <v:textbox>
                  <w:txbxContent>
                    <w:p w14:paraId="4D2DEE4D" w14:textId="77777777" w:rsidR="00EC6179" w:rsidRPr="00EC6179" w:rsidRDefault="00EC6179" w:rsidP="00EC6179">
                      <w:pPr>
                        <w:pStyle w:val="CommentText"/>
                        <w:rPr>
                          <w:color w:val="FFFFFF" w:themeColor="background1"/>
                          <w:sz w:val="28"/>
                          <w:szCs w:val="28"/>
                          <w14:textOutline w14:w="9525" w14:cap="rnd" w14:cmpd="sng" w14:algn="ctr">
                            <w14:noFill/>
                            <w14:prstDash w14:val="solid"/>
                            <w14:bevel/>
                          </w14:textOutline>
                        </w:rPr>
                      </w:pPr>
                      <w:r w:rsidRPr="00EC6179">
                        <w:rPr>
                          <w:color w:val="FFFFFF" w:themeColor="background1"/>
                          <w:sz w:val="28"/>
                          <w:szCs w:val="28"/>
                          <w14:textOutline w14:w="9525" w14:cap="rnd" w14:cmpd="sng" w14:algn="ctr">
                            <w14:noFill/>
                            <w14:prstDash w14:val="solid"/>
                            <w14:bevel/>
                          </w14:textOutline>
                        </w:rPr>
                        <w:t>“Embedded in our self-evaluation I want to know how destinations at 16 relate to student attainment and prior attainment. Where trends have emerged that reflect low aspiration or potential issues around stereotypical thinking, we address that in our curriculum and our Careers Leader builds this into future planning to continuously strengthen destinations and therefore life chances for our students” </w:t>
                      </w:r>
                    </w:p>
                    <w:p w14:paraId="72D82513" w14:textId="2450DCA8" w:rsidR="00EC6179" w:rsidRPr="00EC6179" w:rsidRDefault="00EC6179" w:rsidP="00EC6179">
                      <w:pPr>
                        <w:pStyle w:val="CommentText"/>
                        <w:rPr>
                          <w:color w:val="FFFFFF" w:themeColor="background1"/>
                          <w:sz w:val="24"/>
                          <w:szCs w:val="24"/>
                          <w14:textOutline w14:w="9525" w14:cap="rnd" w14:cmpd="sng" w14:algn="ctr">
                            <w14:noFill/>
                            <w14:prstDash w14:val="solid"/>
                            <w14:bevel/>
                          </w14:textOutline>
                        </w:rPr>
                      </w:pPr>
                      <w:r w:rsidRPr="00EC6179">
                        <w:rPr>
                          <w:b/>
                          <w:bCs/>
                          <w:color w:val="FFFFFF" w:themeColor="background1"/>
                          <w:sz w:val="24"/>
                          <w:szCs w:val="24"/>
                          <w14:textOutline w14:w="9525" w14:cap="rnd" w14:cmpd="sng" w14:algn="ctr">
                            <w14:noFill/>
                            <w14:prstDash w14:val="solid"/>
                            <w14:bevel/>
                          </w14:textOutline>
                        </w:rPr>
                        <w:t>Dawn Parkinson, Headteacher Beaumont Leys School</w:t>
                      </w:r>
                    </w:p>
                    <w:p w14:paraId="6B73219D" w14:textId="77777777" w:rsidR="00EC6179" w:rsidRPr="00EC6179" w:rsidRDefault="00EC6179">
                      <w:pPr>
                        <w:rPr>
                          <w:color w:val="FFFFFF" w:themeColor="background1"/>
                          <w14:textOutline w14:w="9525" w14:cap="rnd" w14:cmpd="sng" w14:algn="ctr">
                            <w14:noFill/>
                            <w14:prstDash w14:val="solid"/>
                            <w14:bevel/>
                          </w14:textOutline>
                        </w:rPr>
                      </w:pPr>
                    </w:p>
                  </w:txbxContent>
                </v:textbox>
                <w10:wrap type="square"/>
              </v:shape>
            </w:pict>
          </mc:Fallback>
        </mc:AlternateContent>
      </w:r>
      <w:r w:rsidR="00076D22" w:rsidRPr="00E140FE">
        <w:rPr>
          <w:rFonts w:cstheme="minorHAnsi"/>
          <w:b/>
          <w:bCs/>
          <w:color w:val="00A8A8"/>
          <w:sz w:val="28"/>
          <w:szCs w:val="28"/>
        </w:rPr>
        <w:t>Activity:</w:t>
      </w:r>
    </w:p>
    <w:p w14:paraId="27949E85" w14:textId="40F8FC63" w:rsidR="00954AFB" w:rsidRPr="009A366B" w:rsidRDefault="00954AFB" w:rsidP="00D3705C">
      <w:pPr>
        <w:ind w:firstLine="720"/>
        <w:rPr>
          <w:rFonts w:cstheme="minorHAnsi"/>
          <w:b/>
          <w:bCs/>
          <w:color w:val="404040" w:themeColor="text1" w:themeTint="BF"/>
          <w:sz w:val="24"/>
          <w:szCs w:val="24"/>
        </w:rPr>
      </w:pPr>
      <w:r w:rsidRPr="009A366B">
        <w:rPr>
          <w:rFonts w:cstheme="minorHAnsi"/>
          <w:b/>
          <w:bCs/>
          <w:color w:val="404040" w:themeColor="text1" w:themeTint="BF"/>
          <w:sz w:val="24"/>
          <w:szCs w:val="24"/>
        </w:rPr>
        <w:t>Careers Provision</w:t>
      </w:r>
      <w:r w:rsidR="00076D22" w:rsidRPr="009A366B">
        <w:rPr>
          <w:rFonts w:cstheme="minorHAnsi"/>
          <w:b/>
          <w:bCs/>
          <w:color w:val="404040" w:themeColor="text1" w:themeTint="BF"/>
          <w:sz w:val="24"/>
          <w:szCs w:val="24"/>
        </w:rPr>
        <w:t xml:space="preserve"> SOAR:</w:t>
      </w:r>
      <w:r w:rsidRPr="009A366B">
        <w:rPr>
          <w:rFonts w:cstheme="minorHAnsi"/>
          <w:b/>
          <w:bCs/>
          <w:color w:val="404040" w:themeColor="text1" w:themeTint="BF"/>
          <w:sz w:val="24"/>
          <w:szCs w:val="24"/>
        </w:rPr>
        <w:t xml:space="preserve"> S</w:t>
      </w:r>
      <w:r w:rsidR="002E44BC" w:rsidRPr="009A366B">
        <w:rPr>
          <w:rFonts w:cstheme="minorHAnsi"/>
          <w:b/>
          <w:bCs/>
          <w:color w:val="404040" w:themeColor="text1" w:themeTint="BF"/>
          <w:sz w:val="24"/>
          <w:szCs w:val="24"/>
        </w:rPr>
        <w:t xml:space="preserve">trengths, </w:t>
      </w:r>
      <w:r w:rsidRPr="009A366B">
        <w:rPr>
          <w:rFonts w:cstheme="minorHAnsi"/>
          <w:b/>
          <w:bCs/>
          <w:color w:val="404040" w:themeColor="text1" w:themeTint="BF"/>
          <w:sz w:val="24"/>
          <w:szCs w:val="24"/>
        </w:rPr>
        <w:t>O</w:t>
      </w:r>
      <w:r w:rsidR="002E44BC" w:rsidRPr="009A366B">
        <w:rPr>
          <w:rFonts w:cstheme="minorHAnsi"/>
          <w:b/>
          <w:bCs/>
          <w:color w:val="404040" w:themeColor="text1" w:themeTint="BF"/>
          <w:sz w:val="24"/>
          <w:szCs w:val="24"/>
        </w:rPr>
        <w:t xml:space="preserve">pportunities, </w:t>
      </w:r>
      <w:r w:rsidRPr="009A366B">
        <w:rPr>
          <w:rFonts w:cstheme="minorHAnsi"/>
          <w:b/>
          <w:bCs/>
          <w:color w:val="404040" w:themeColor="text1" w:themeTint="BF"/>
          <w:sz w:val="24"/>
          <w:szCs w:val="24"/>
        </w:rPr>
        <w:t>A</w:t>
      </w:r>
      <w:r w:rsidR="00076D22" w:rsidRPr="009A366B">
        <w:rPr>
          <w:rFonts w:cstheme="minorHAnsi"/>
          <w:b/>
          <w:bCs/>
          <w:color w:val="404040" w:themeColor="text1" w:themeTint="BF"/>
          <w:sz w:val="24"/>
          <w:szCs w:val="24"/>
        </w:rPr>
        <w:t xml:space="preserve">spirations, </w:t>
      </w:r>
      <w:r w:rsidRPr="009A366B">
        <w:rPr>
          <w:rFonts w:cstheme="minorHAnsi"/>
          <w:b/>
          <w:bCs/>
          <w:color w:val="404040" w:themeColor="text1" w:themeTint="BF"/>
          <w:sz w:val="24"/>
          <w:szCs w:val="24"/>
        </w:rPr>
        <w:t>R</w:t>
      </w:r>
      <w:r w:rsidR="00076D22" w:rsidRPr="009A366B">
        <w:rPr>
          <w:rFonts w:cstheme="minorHAnsi"/>
          <w:b/>
          <w:bCs/>
          <w:color w:val="404040" w:themeColor="text1" w:themeTint="BF"/>
          <w:sz w:val="24"/>
          <w:szCs w:val="24"/>
        </w:rPr>
        <w:t>esults</w:t>
      </w:r>
    </w:p>
    <w:p w14:paraId="4430254C" w14:textId="77777777" w:rsidR="00076D22" w:rsidRPr="009A366B" w:rsidRDefault="00A3284F" w:rsidP="00954AFB">
      <w:pPr>
        <w:shd w:val="clear" w:color="auto" w:fill="FFFFFF" w:themeFill="background1"/>
        <w:rPr>
          <w:rFonts w:cstheme="minorHAnsi"/>
          <w:color w:val="404040" w:themeColor="text1" w:themeTint="BF"/>
          <w:sz w:val="24"/>
          <w:szCs w:val="24"/>
        </w:rPr>
      </w:pPr>
      <w:r w:rsidRPr="009A366B">
        <w:rPr>
          <w:rFonts w:cstheme="minorHAnsi"/>
          <w:color w:val="404040" w:themeColor="text1" w:themeTint="BF"/>
          <w:sz w:val="24"/>
          <w:szCs w:val="24"/>
        </w:rPr>
        <w:t>Elements to plot:</w:t>
      </w:r>
      <w:r w:rsidR="00611013" w:rsidRPr="009A366B">
        <w:rPr>
          <w:rFonts w:cstheme="minorHAnsi"/>
          <w:color w:val="404040" w:themeColor="text1" w:themeTint="BF"/>
          <w:sz w:val="24"/>
          <w:szCs w:val="24"/>
        </w:rPr>
        <w:t xml:space="preserve"> </w:t>
      </w:r>
    </w:p>
    <w:p w14:paraId="7FA8C13B" w14:textId="2ECDAB45"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Time/Resource of Careers Leader, Role of EA/Link Governor, Parental Engagement, SLT Buy-in, Staff CPD, Whole School Responsibility for Careers</w:t>
      </w:r>
      <w:r w:rsidR="007D22BD" w:rsidRPr="009A366B">
        <w:rPr>
          <w:rFonts w:asciiTheme="minorHAnsi" w:hAnsiTheme="minorHAnsi" w:cstheme="minorHAnsi"/>
          <w:color w:val="404040" w:themeColor="text1" w:themeTint="BF"/>
          <w:sz w:val="24"/>
          <w:szCs w:val="24"/>
        </w:rPr>
        <w:t>.</w:t>
      </w:r>
    </w:p>
    <w:p w14:paraId="0809DF23" w14:textId="23303D07"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Benchmark progress: LMI, Tracking at Student Level, Careers within Subject Areas, Employer Engagement, Experiences of the World of Work, Encounters with FE/HE, 1:1 guidance</w:t>
      </w:r>
      <w:r w:rsidR="007D22BD" w:rsidRPr="009A366B">
        <w:rPr>
          <w:rFonts w:asciiTheme="minorHAnsi" w:hAnsiTheme="minorHAnsi" w:cstheme="minorHAnsi"/>
          <w:color w:val="404040" w:themeColor="text1" w:themeTint="BF"/>
          <w:sz w:val="24"/>
          <w:szCs w:val="24"/>
        </w:rPr>
        <w:t>.</w:t>
      </w:r>
    </w:p>
    <w:p w14:paraId="7DC1E800" w14:textId="3A895595"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Reviewing Evidence</w:t>
      </w:r>
      <w:r w:rsidR="00611013" w:rsidRPr="009A366B">
        <w:rPr>
          <w:rFonts w:asciiTheme="minorHAnsi" w:hAnsiTheme="minorHAnsi" w:cstheme="minorHAnsi"/>
          <w:color w:val="404040" w:themeColor="text1" w:themeTint="BF"/>
          <w:sz w:val="24"/>
          <w:szCs w:val="24"/>
        </w:rPr>
        <w:t>*</w:t>
      </w:r>
      <w:r w:rsidRPr="009A366B">
        <w:rPr>
          <w:rFonts w:asciiTheme="minorHAnsi" w:hAnsiTheme="minorHAnsi" w:cstheme="minorHAnsi"/>
          <w:color w:val="404040" w:themeColor="text1" w:themeTint="BF"/>
          <w:sz w:val="24"/>
          <w:szCs w:val="24"/>
        </w:rPr>
        <w:t>: Feedback, Careers Skills &amp; Knowledge, Education Engagement and Destinations Data</w:t>
      </w:r>
      <w:r w:rsidR="007D22BD" w:rsidRPr="009A366B">
        <w:rPr>
          <w:rFonts w:asciiTheme="minorHAnsi" w:hAnsiTheme="minorHAnsi" w:cstheme="minorHAnsi"/>
          <w:color w:val="404040" w:themeColor="text1" w:themeTint="BF"/>
          <w:sz w:val="24"/>
          <w:szCs w:val="24"/>
        </w:rPr>
        <w:t>.</w:t>
      </w:r>
    </w:p>
    <w:p w14:paraId="41A51809" w14:textId="77777777" w:rsidR="007D22BD" w:rsidRPr="009A366B" w:rsidRDefault="007D22BD" w:rsidP="00954AFB">
      <w:pPr>
        <w:shd w:val="clear" w:color="auto" w:fill="FFFFFF" w:themeFill="background1"/>
        <w:rPr>
          <w:rFonts w:cstheme="minorHAnsi"/>
          <w:color w:val="404040" w:themeColor="text1" w:themeTint="BF"/>
          <w:sz w:val="24"/>
          <w:szCs w:val="24"/>
        </w:rPr>
      </w:pPr>
    </w:p>
    <w:p w14:paraId="053FE2D1" w14:textId="7EED13DC" w:rsidR="00E140FE" w:rsidRPr="00E140FE" w:rsidRDefault="00611013" w:rsidP="00954AFB">
      <w:pPr>
        <w:shd w:val="clear" w:color="auto" w:fill="FFFFFF" w:themeFill="background1"/>
        <w:rPr>
          <w:rFonts w:cstheme="minorHAnsi"/>
          <w:color w:val="404040" w:themeColor="text1" w:themeTint="BF"/>
          <w:sz w:val="24"/>
          <w:szCs w:val="24"/>
        </w:rPr>
      </w:pPr>
      <w:r w:rsidRPr="00E140FE">
        <w:rPr>
          <w:rFonts w:cstheme="minorHAnsi"/>
          <w:color w:val="404040" w:themeColor="text1" w:themeTint="BF"/>
          <w:sz w:val="24"/>
          <w:szCs w:val="24"/>
        </w:rPr>
        <w:t>* Consider your answers to the reflective questions throughout this document as you</w:t>
      </w:r>
      <w:r w:rsidR="002E44BC" w:rsidRPr="00E140FE">
        <w:rPr>
          <w:rFonts w:cstheme="minorHAnsi"/>
          <w:color w:val="404040" w:themeColor="text1" w:themeTint="BF"/>
          <w:sz w:val="24"/>
          <w:szCs w:val="24"/>
        </w:rPr>
        <w:t xml:space="preserve"> review evidence to plot in this SOAR analysis </w:t>
      </w:r>
    </w:p>
    <w:tbl>
      <w:tblPr>
        <w:tblStyle w:val="TableGrid"/>
        <w:tblW w:w="15253" w:type="dxa"/>
        <w:tblLook w:val="04A0" w:firstRow="1" w:lastRow="0" w:firstColumn="1" w:lastColumn="0" w:noHBand="0" w:noVBand="1"/>
      </w:tblPr>
      <w:tblGrid>
        <w:gridCol w:w="7626"/>
        <w:gridCol w:w="7627"/>
      </w:tblGrid>
      <w:tr w:rsidR="00D44700" w:rsidRPr="009A366B" w14:paraId="0F33135A" w14:textId="77777777" w:rsidTr="00FB36B6">
        <w:trPr>
          <w:trHeight w:val="20"/>
        </w:trPr>
        <w:tc>
          <w:tcPr>
            <w:tcW w:w="7626" w:type="dxa"/>
            <w:tcBorders>
              <w:top w:val="single" w:sz="18" w:space="0" w:color="47A9A9"/>
              <w:left w:val="single" w:sz="18" w:space="0" w:color="47A9A9"/>
              <w:bottom w:val="single" w:sz="18" w:space="0" w:color="47A9A9"/>
              <w:right w:val="single" w:sz="18" w:space="0" w:color="47A9A9"/>
            </w:tcBorders>
          </w:tcPr>
          <w:p w14:paraId="12949051" w14:textId="05E7E18E" w:rsidR="00954AFB" w:rsidRPr="009A366B" w:rsidRDefault="009C1720" w:rsidP="00FC02A6">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Strengths</w:t>
            </w:r>
          </w:p>
          <w:p w14:paraId="68713D87"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p w14:paraId="5B525688"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tc>
        <w:tc>
          <w:tcPr>
            <w:tcW w:w="7626" w:type="dxa"/>
            <w:tcBorders>
              <w:top w:val="single" w:sz="18" w:space="0" w:color="47A9A9"/>
              <w:left w:val="single" w:sz="18" w:space="0" w:color="47A9A9"/>
              <w:bottom w:val="single" w:sz="18" w:space="0" w:color="47A9A9"/>
              <w:right w:val="single" w:sz="18" w:space="0" w:color="47A9A9"/>
            </w:tcBorders>
          </w:tcPr>
          <w:p w14:paraId="00CE8E3B" w14:textId="1F5D8550" w:rsidR="00954AFB" w:rsidRPr="009A366B" w:rsidRDefault="00954AFB" w:rsidP="00667504">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O</w:t>
            </w:r>
            <w:r w:rsidR="009C1720" w:rsidRPr="009A366B">
              <w:rPr>
                <w:rFonts w:cstheme="minorHAnsi"/>
                <w:b/>
                <w:bCs/>
                <w:color w:val="404040" w:themeColor="text1" w:themeTint="BF"/>
                <w:sz w:val="24"/>
                <w:szCs w:val="24"/>
              </w:rPr>
              <w:t xml:space="preserve">pportunities </w:t>
            </w:r>
          </w:p>
        </w:tc>
      </w:tr>
      <w:tr w:rsidR="00D44700" w:rsidRPr="009A366B" w14:paraId="1956FC18" w14:textId="77777777" w:rsidTr="00FB36B6">
        <w:trPr>
          <w:trHeight w:val="20"/>
        </w:trPr>
        <w:tc>
          <w:tcPr>
            <w:tcW w:w="7626" w:type="dxa"/>
            <w:tcBorders>
              <w:top w:val="single" w:sz="18" w:space="0" w:color="47A9A9"/>
              <w:left w:val="single" w:sz="18" w:space="0" w:color="47A9A9"/>
              <w:bottom w:val="single" w:sz="18" w:space="0" w:color="47A9A9"/>
              <w:right w:val="single" w:sz="18" w:space="0" w:color="47A9A9"/>
            </w:tcBorders>
          </w:tcPr>
          <w:p w14:paraId="560C1CD3" w14:textId="505C30CE" w:rsidR="00954AFB" w:rsidRPr="009A366B" w:rsidRDefault="00954AFB" w:rsidP="00FC02A6">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A</w:t>
            </w:r>
            <w:r w:rsidR="009C1720" w:rsidRPr="009A366B">
              <w:rPr>
                <w:rFonts w:cstheme="minorHAnsi"/>
                <w:b/>
                <w:bCs/>
                <w:color w:val="404040" w:themeColor="text1" w:themeTint="BF"/>
                <w:sz w:val="24"/>
                <w:szCs w:val="24"/>
              </w:rPr>
              <w:t>spirations</w:t>
            </w:r>
          </w:p>
          <w:p w14:paraId="29BAAE15"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p w14:paraId="79B536E3"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tc>
        <w:tc>
          <w:tcPr>
            <w:tcW w:w="7626" w:type="dxa"/>
            <w:tcBorders>
              <w:top w:val="single" w:sz="18" w:space="0" w:color="47A9A9"/>
              <w:left w:val="single" w:sz="18" w:space="0" w:color="47A9A9"/>
              <w:bottom w:val="single" w:sz="18" w:space="0" w:color="47A9A9"/>
              <w:right w:val="single" w:sz="18" w:space="0" w:color="47A9A9"/>
            </w:tcBorders>
          </w:tcPr>
          <w:p w14:paraId="3807ABCF" w14:textId="34B84E78" w:rsidR="00954AFB" w:rsidRPr="009A366B" w:rsidRDefault="009C1720" w:rsidP="00667504">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Results</w:t>
            </w:r>
          </w:p>
        </w:tc>
      </w:tr>
      <w:tr w:rsidR="00D44700" w:rsidRPr="009A366B" w14:paraId="235D46FD" w14:textId="77777777" w:rsidTr="00FB36B6">
        <w:trPr>
          <w:trHeight w:val="1451"/>
        </w:trPr>
        <w:tc>
          <w:tcPr>
            <w:tcW w:w="15253" w:type="dxa"/>
            <w:gridSpan w:val="2"/>
            <w:tcBorders>
              <w:left w:val="single" w:sz="18" w:space="0" w:color="47A9A9"/>
              <w:bottom w:val="single" w:sz="18" w:space="0" w:color="47A9A9"/>
              <w:right w:val="single" w:sz="18" w:space="0" w:color="47A9A9"/>
            </w:tcBorders>
          </w:tcPr>
          <w:p w14:paraId="7CFEA391" w14:textId="405DC8D2" w:rsidR="00954AFB" w:rsidRPr="009A366B" w:rsidRDefault="00954AFB" w:rsidP="00667504">
            <w:pPr>
              <w:shd w:val="clear" w:color="auto" w:fill="FFFFFF" w:themeFill="background1"/>
              <w:rPr>
                <w:rFonts w:cstheme="minorHAnsi"/>
                <w:color w:val="404040" w:themeColor="text1" w:themeTint="BF"/>
                <w:sz w:val="24"/>
                <w:szCs w:val="24"/>
              </w:rPr>
            </w:pPr>
            <w:r w:rsidRPr="009A366B">
              <w:rPr>
                <w:rFonts w:cstheme="minorHAnsi"/>
                <w:color w:val="404040" w:themeColor="text1" w:themeTint="BF"/>
                <w:sz w:val="24"/>
                <w:szCs w:val="24"/>
              </w:rPr>
              <w:t>Key priority/action areas from SOAR:</w:t>
            </w:r>
          </w:p>
          <w:p w14:paraId="4FD5DC86"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 xml:space="preserve"> </w:t>
            </w:r>
          </w:p>
          <w:p w14:paraId="5A79DB6B"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 xml:space="preserve"> </w:t>
            </w:r>
          </w:p>
          <w:p w14:paraId="0FE37071"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000000" w:themeColor="text1"/>
                <w:sz w:val="24"/>
                <w:szCs w:val="24"/>
              </w:rPr>
            </w:pPr>
            <w:r w:rsidRPr="009A366B">
              <w:rPr>
                <w:rFonts w:asciiTheme="minorHAnsi" w:hAnsiTheme="minorHAnsi" w:cstheme="minorHAnsi"/>
                <w:color w:val="404040" w:themeColor="text1" w:themeTint="BF"/>
                <w:sz w:val="24"/>
                <w:szCs w:val="24"/>
              </w:rPr>
              <w:t xml:space="preserve"> </w:t>
            </w:r>
          </w:p>
        </w:tc>
      </w:tr>
    </w:tbl>
    <w:p w14:paraId="40F48EB9" w14:textId="5B0D06F5" w:rsidR="00667504" w:rsidRPr="00E140FE" w:rsidRDefault="00954AFB">
      <w:pPr>
        <w:rPr>
          <w:color w:val="404040" w:themeColor="text1" w:themeTint="BF"/>
          <w:sz w:val="24"/>
          <w:szCs w:val="24"/>
        </w:rPr>
      </w:pPr>
      <w:r w:rsidRPr="4B5CB2A0">
        <w:rPr>
          <w:color w:val="404040" w:themeColor="text1" w:themeTint="BF"/>
          <w:sz w:val="24"/>
          <w:szCs w:val="24"/>
        </w:rPr>
        <w:t xml:space="preserve">The SOAR tool is taken from the Building a Strategic Careers Plan </w:t>
      </w:r>
      <w:hyperlink r:id="rId58" w:history="1">
        <w:r w:rsidRPr="00880A48">
          <w:rPr>
            <w:rStyle w:val="Hyperlink"/>
            <w:sz w:val="24"/>
            <w:szCs w:val="24"/>
          </w:rPr>
          <w:t>Guidance Document</w:t>
        </w:r>
      </w:hyperlink>
      <w:r w:rsidR="009C1720" w:rsidRPr="4B5CB2A0">
        <w:rPr>
          <w:color w:val="404040" w:themeColor="text1" w:themeTint="BF"/>
          <w:sz w:val="24"/>
          <w:szCs w:val="24"/>
        </w:rPr>
        <w:t xml:space="preserve"> </w:t>
      </w:r>
    </w:p>
    <w:sectPr w:rsidR="00667504" w:rsidRPr="00E140FE" w:rsidSect="00D3705C">
      <w:headerReference w:type="default" r:id="rId59"/>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9EBE" w14:textId="77777777" w:rsidR="00783F5D" w:rsidRDefault="00783F5D" w:rsidP="00530E19">
      <w:pPr>
        <w:spacing w:after="0" w:line="240" w:lineRule="auto"/>
      </w:pPr>
      <w:r>
        <w:separator/>
      </w:r>
    </w:p>
  </w:endnote>
  <w:endnote w:type="continuationSeparator" w:id="0">
    <w:p w14:paraId="5423054D" w14:textId="77777777" w:rsidR="00783F5D" w:rsidRDefault="00783F5D" w:rsidP="00530E19">
      <w:pPr>
        <w:spacing w:after="0" w:line="240" w:lineRule="auto"/>
      </w:pPr>
      <w:r>
        <w:continuationSeparator/>
      </w:r>
    </w:p>
  </w:endnote>
  <w:endnote w:type="continuationNotice" w:id="1">
    <w:p w14:paraId="356E724E" w14:textId="77777777" w:rsidR="00783F5D" w:rsidRDefault="0078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6948"/>
      <w:docPartObj>
        <w:docPartGallery w:val="Page Numbers (Bottom of Page)"/>
        <w:docPartUnique/>
      </w:docPartObj>
    </w:sdtPr>
    <w:sdtEndPr>
      <w:rPr>
        <w:noProof/>
      </w:rPr>
    </w:sdtEndPr>
    <w:sdtContent>
      <w:p w14:paraId="1E135734" w14:textId="77777777" w:rsidR="00667504" w:rsidRDefault="00A40DC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7051E3C" w14:textId="77777777" w:rsidR="00667504" w:rsidRDefault="0066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5509" w14:textId="77777777" w:rsidR="00783F5D" w:rsidRDefault="00783F5D" w:rsidP="00530E19">
      <w:pPr>
        <w:spacing w:after="0" w:line="240" w:lineRule="auto"/>
      </w:pPr>
      <w:r>
        <w:separator/>
      </w:r>
    </w:p>
  </w:footnote>
  <w:footnote w:type="continuationSeparator" w:id="0">
    <w:p w14:paraId="4E13D7C4" w14:textId="77777777" w:rsidR="00783F5D" w:rsidRDefault="00783F5D" w:rsidP="00530E19">
      <w:pPr>
        <w:spacing w:after="0" w:line="240" w:lineRule="auto"/>
      </w:pPr>
      <w:r>
        <w:continuationSeparator/>
      </w:r>
    </w:p>
  </w:footnote>
  <w:footnote w:type="continuationNotice" w:id="1">
    <w:p w14:paraId="1C51E2D7" w14:textId="77777777" w:rsidR="00783F5D" w:rsidRDefault="0078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CB4F" w14:textId="4FC89272" w:rsidR="00C31496" w:rsidRDefault="00C31496" w:rsidP="00D3705C">
    <w:pPr>
      <w:pStyle w:val="Header"/>
      <w:jc w:val="right"/>
    </w:pPr>
    <w:r>
      <w:t xml:space="preserve">                                                                                                                                                                           </w:t>
    </w:r>
    <w:r>
      <w:rPr>
        <w:noProof/>
      </w:rPr>
      <w:drawing>
        <wp:inline distT="0" distB="0" distL="0" distR="0" wp14:anchorId="7973A3E4" wp14:editId="60E019FE">
          <wp:extent cx="1223462" cy="495300"/>
          <wp:effectExtent l="0" t="0" r="0" b="0"/>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254" cy="497240"/>
                  </a:xfrm>
                  <a:prstGeom prst="rect">
                    <a:avLst/>
                  </a:prstGeom>
                </pic:spPr>
              </pic:pic>
            </a:graphicData>
          </a:graphic>
        </wp:inline>
      </w:drawing>
    </w:r>
  </w:p>
  <w:p w14:paraId="509996CB" w14:textId="77777777" w:rsidR="00C31496" w:rsidRDefault="00C3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3DD"/>
    <w:multiLevelType w:val="hybridMultilevel"/>
    <w:tmpl w:val="5CDA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5A1D"/>
    <w:multiLevelType w:val="hybridMultilevel"/>
    <w:tmpl w:val="CA02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1176DF"/>
    <w:multiLevelType w:val="hybridMultilevel"/>
    <w:tmpl w:val="51F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6E1C"/>
    <w:multiLevelType w:val="hybridMultilevel"/>
    <w:tmpl w:val="F85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212E"/>
    <w:multiLevelType w:val="hybridMultilevel"/>
    <w:tmpl w:val="A0A4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43534"/>
    <w:multiLevelType w:val="hybridMultilevel"/>
    <w:tmpl w:val="F55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4359C"/>
    <w:multiLevelType w:val="hybridMultilevel"/>
    <w:tmpl w:val="E0B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65B4C"/>
    <w:multiLevelType w:val="hybridMultilevel"/>
    <w:tmpl w:val="73528398"/>
    <w:lvl w:ilvl="0" w:tplc="F8E8930A">
      <w:numFmt w:val="bullet"/>
      <w:lvlText w:val="•"/>
      <w:lvlJc w:val="left"/>
      <w:pPr>
        <w:ind w:left="1080" w:hanging="360"/>
      </w:pPr>
      <w:rPr>
        <w:rFonts w:ascii="Lato" w:eastAsiaTheme="minorHAnsi" w:hAnsi="La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B060A"/>
    <w:multiLevelType w:val="hybridMultilevel"/>
    <w:tmpl w:val="620E34FE"/>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13977"/>
    <w:multiLevelType w:val="hybridMultilevel"/>
    <w:tmpl w:val="B4AE2BA8"/>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D2E10"/>
    <w:multiLevelType w:val="hybridMultilevel"/>
    <w:tmpl w:val="9240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81660"/>
    <w:multiLevelType w:val="hybridMultilevel"/>
    <w:tmpl w:val="40D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35786"/>
    <w:multiLevelType w:val="hybridMultilevel"/>
    <w:tmpl w:val="ED8CD4CC"/>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5296B"/>
    <w:multiLevelType w:val="hybridMultilevel"/>
    <w:tmpl w:val="48F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20960"/>
    <w:multiLevelType w:val="hybridMultilevel"/>
    <w:tmpl w:val="97E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17DB8"/>
    <w:multiLevelType w:val="hybridMultilevel"/>
    <w:tmpl w:val="B9FA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F08E0"/>
    <w:multiLevelType w:val="hybridMultilevel"/>
    <w:tmpl w:val="62F4C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EA5FCA"/>
    <w:multiLevelType w:val="hybridMultilevel"/>
    <w:tmpl w:val="0F3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55EDB"/>
    <w:multiLevelType w:val="hybridMultilevel"/>
    <w:tmpl w:val="22AC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65328"/>
    <w:multiLevelType w:val="hybridMultilevel"/>
    <w:tmpl w:val="FC78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65EC9"/>
    <w:multiLevelType w:val="hybridMultilevel"/>
    <w:tmpl w:val="2F22BC4C"/>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216DE"/>
    <w:multiLevelType w:val="hybridMultilevel"/>
    <w:tmpl w:val="FAD0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578B4"/>
    <w:multiLevelType w:val="hybridMultilevel"/>
    <w:tmpl w:val="E0A842F0"/>
    <w:lvl w:ilvl="0" w:tplc="472A7984">
      <w:start w:val="1"/>
      <w:numFmt w:val="bullet"/>
      <w:lvlText w:val="•"/>
      <w:lvlJc w:val="left"/>
      <w:pPr>
        <w:tabs>
          <w:tab w:val="num" w:pos="720"/>
        </w:tabs>
        <w:ind w:left="720" w:hanging="360"/>
      </w:pPr>
      <w:rPr>
        <w:rFonts w:ascii="Arial" w:hAnsi="Arial" w:hint="default"/>
      </w:rPr>
    </w:lvl>
    <w:lvl w:ilvl="1" w:tplc="55B8D17A" w:tentative="1">
      <w:start w:val="1"/>
      <w:numFmt w:val="bullet"/>
      <w:lvlText w:val="•"/>
      <w:lvlJc w:val="left"/>
      <w:pPr>
        <w:tabs>
          <w:tab w:val="num" w:pos="1440"/>
        </w:tabs>
        <w:ind w:left="1440" w:hanging="360"/>
      </w:pPr>
      <w:rPr>
        <w:rFonts w:ascii="Arial" w:hAnsi="Arial" w:hint="default"/>
      </w:rPr>
    </w:lvl>
    <w:lvl w:ilvl="2" w:tplc="E85CB23A" w:tentative="1">
      <w:start w:val="1"/>
      <w:numFmt w:val="bullet"/>
      <w:lvlText w:val="•"/>
      <w:lvlJc w:val="left"/>
      <w:pPr>
        <w:tabs>
          <w:tab w:val="num" w:pos="2160"/>
        </w:tabs>
        <w:ind w:left="2160" w:hanging="360"/>
      </w:pPr>
      <w:rPr>
        <w:rFonts w:ascii="Arial" w:hAnsi="Arial" w:hint="default"/>
      </w:rPr>
    </w:lvl>
    <w:lvl w:ilvl="3" w:tplc="F86025C0" w:tentative="1">
      <w:start w:val="1"/>
      <w:numFmt w:val="bullet"/>
      <w:lvlText w:val="•"/>
      <w:lvlJc w:val="left"/>
      <w:pPr>
        <w:tabs>
          <w:tab w:val="num" w:pos="2880"/>
        </w:tabs>
        <w:ind w:left="2880" w:hanging="360"/>
      </w:pPr>
      <w:rPr>
        <w:rFonts w:ascii="Arial" w:hAnsi="Arial" w:hint="default"/>
      </w:rPr>
    </w:lvl>
    <w:lvl w:ilvl="4" w:tplc="99F24A3E" w:tentative="1">
      <w:start w:val="1"/>
      <w:numFmt w:val="bullet"/>
      <w:lvlText w:val="•"/>
      <w:lvlJc w:val="left"/>
      <w:pPr>
        <w:tabs>
          <w:tab w:val="num" w:pos="3600"/>
        </w:tabs>
        <w:ind w:left="3600" w:hanging="360"/>
      </w:pPr>
      <w:rPr>
        <w:rFonts w:ascii="Arial" w:hAnsi="Arial" w:hint="default"/>
      </w:rPr>
    </w:lvl>
    <w:lvl w:ilvl="5" w:tplc="7C5C7608" w:tentative="1">
      <w:start w:val="1"/>
      <w:numFmt w:val="bullet"/>
      <w:lvlText w:val="•"/>
      <w:lvlJc w:val="left"/>
      <w:pPr>
        <w:tabs>
          <w:tab w:val="num" w:pos="4320"/>
        </w:tabs>
        <w:ind w:left="4320" w:hanging="360"/>
      </w:pPr>
      <w:rPr>
        <w:rFonts w:ascii="Arial" w:hAnsi="Arial" w:hint="default"/>
      </w:rPr>
    </w:lvl>
    <w:lvl w:ilvl="6" w:tplc="96A83D56" w:tentative="1">
      <w:start w:val="1"/>
      <w:numFmt w:val="bullet"/>
      <w:lvlText w:val="•"/>
      <w:lvlJc w:val="left"/>
      <w:pPr>
        <w:tabs>
          <w:tab w:val="num" w:pos="5040"/>
        </w:tabs>
        <w:ind w:left="5040" w:hanging="360"/>
      </w:pPr>
      <w:rPr>
        <w:rFonts w:ascii="Arial" w:hAnsi="Arial" w:hint="default"/>
      </w:rPr>
    </w:lvl>
    <w:lvl w:ilvl="7" w:tplc="9050E5E6" w:tentative="1">
      <w:start w:val="1"/>
      <w:numFmt w:val="bullet"/>
      <w:lvlText w:val="•"/>
      <w:lvlJc w:val="left"/>
      <w:pPr>
        <w:tabs>
          <w:tab w:val="num" w:pos="5760"/>
        </w:tabs>
        <w:ind w:left="5760" w:hanging="360"/>
      </w:pPr>
      <w:rPr>
        <w:rFonts w:ascii="Arial" w:hAnsi="Arial" w:hint="default"/>
      </w:rPr>
    </w:lvl>
    <w:lvl w:ilvl="8" w:tplc="61B84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ED02E4"/>
    <w:multiLevelType w:val="hybridMultilevel"/>
    <w:tmpl w:val="F52C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D12ED"/>
    <w:multiLevelType w:val="hybridMultilevel"/>
    <w:tmpl w:val="B3040EFC"/>
    <w:lvl w:ilvl="0" w:tplc="1124F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34280"/>
    <w:multiLevelType w:val="hybridMultilevel"/>
    <w:tmpl w:val="AF8E61D8"/>
    <w:lvl w:ilvl="0" w:tplc="1124F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26"/>
  </w:num>
  <w:num w:numId="5">
    <w:abstractNumId w:val="0"/>
  </w:num>
  <w:num w:numId="6">
    <w:abstractNumId w:val="23"/>
  </w:num>
  <w:num w:numId="7">
    <w:abstractNumId w:val="4"/>
  </w:num>
  <w:num w:numId="8">
    <w:abstractNumId w:val="24"/>
  </w:num>
  <w:num w:numId="9">
    <w:abstractNumId w:val="5"/>
  </w:num>
  <w:num w:numId="10">
    <w:abstractNumId w:val="17"/>
  </w:num>
  <w:num w:numId="11">
    <w:abstractNumId w:val="18"/>
  </w:num>
  <w:num w:numId="12">
    <w:abstractNumId w:val="22"/>
  </w:num>
  <w:num w:numId="13">
    <w:abstractNumId w:val="11"/>
  </w:num>
  <w:num w:numId="14">
    <w:abstractNumId w:val="12"/>
  </w:num>
  <w:num w:numId="15">
    <w:abstractNumId w:val="1"/>
  </w:num>
  <w:num w:numId="16">
    <w:abstractNumId w:val="15"/>
  </w:num>
  <w:num w:numId="17">
    <w:abstractNumId w:val="20"/>
  </w:num>
  <w:num w:numId="18">
    <w:abstractNumId w:val="14"/>
  </w:num>
  <w:num w:numId="19">
    <w:abstractNumId w:val="9"/>
  </w:num>
  <w:num w:numId="20">
    <w:abstractNumId w:val="13"/>
  </w:num>
  <w:num w:numId="21">
    <w:abstractNumId w:val="8"/>
  </w:num>
  <w:num w:numId="22">
    <w:abstractNumId w:val="10"/>
  </w:num>
  <w:num w:numId="23">
    <w:abstractNumId w:val="21"/>
  </w:num>
  <w:num w:numId="24">
    <w:abstractNumId w:val="6"/>
  </w:num>
  <w:num w:numId="25">
    <w:abstractNumId w:val="3"/>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9"/>
    <w:rsid w:val="000004AF"/>
    <w:rsid w:val="00013B9E"/>
    <w:rsid w:val="00033ECF"/>
    <w:rsid w:val="000352D1"/>
    <w:rsid w:val="000558D4"/>
    <w:rsid w:val="00055C47"/>
    <w:rsid w:val="00076D22"/>
    <w:rsid w:val="00082DE7"/>
    <w:rsid w:val="00096954"/>
    <w:rsid w:val="000B5CB5"/>
    <w:rsid w:val="000F084F"/>
    <w:rsid w:val="001117ED"/>
    <w:rsid w:val="001322F1"/>
    <w:rsid w:val="00136A20"/>
    <w:rsid w:val="00145547"/>
    <w:rsid w:val="00166FBA"/>
    <w:rsid w:val="001807C0"/>
    <w:rsid w:val="0018627A"/>
    <w:rsid w:val="0019425B"/>
    <w:rsid w:val="001A64A5"/>
    <w:rsid w:val="001C1EB4"/>
    <w:rsid w:val="001D087B"/>
    <w:rsid w:val="001D43A9"/>
    <w:rsid w:val="001F3590"/>
    <w:rsid w:val="001F3773"/>
    <w:rsid w:val="001F4706"/>
    <w:rsid w:val="00204C26"/>
    <w:rsid w:val="00205197"/>
    <w:rsid w:val="00222C5A"/>
    <w:rsid w:val="00230CAE"/>
    <w:rsid w:val="00236147"/>
    <w:rsid w:val="002427D3"/>
    <w:rsid w:val="00244B13"/>
    <w:rsid w:val="00246639"/>
    <w:rsid w:val="002633DC"/>
    <w:rsid w:val="00263F38"/>
    <w:rsid w:val="002744A5"/>
    <w:rsid w:val="00283938"/>
    <w:rsid w:val="002C42A6"/>
    <w:rsid w:val="002D26C8"/>
    <w:rsid w:val="002E2704"/>
    <w:rsid w:val="002E44BC"/>
    <w:rsid w:val="003116F7"/>
    <w:rsid w:val="00323B4C"/>
    <w:rsid w:val="0034251A"/>
    <w:rsid w:val="00352163"/>
    <w:rsid w:val="00363592"/>
    <w:rsid w:val="00370430"/>
    <w:rsid w:val="00381B21"/>
    <w:rsid w:val="003A3951"/>
    <w:rsid w:val="003A4E5F"/>
    <w:rsid w:val="003C4DA9"/>
    <w:rsid w:val="003D0D19"/>
    <w:rsid w:val="003D2881"/>
    <w:rsid w:val="003F0EE4"/>
    <w:rsid w:val="00422163"/>
    <w:rsid w:val="00436E3A"/>
    <w:rsid w:val="00446280"/>
    <w:rsid w:val="00454D8A"/>
    <w:rsid w:val="004618FB"/>
    <w:rsid w:val="00477845"/>
    <w:rsid w:val="004A128E"/>
    <w:rsid w:val="004C1F3B"/>
    <w:rsid w:val="004D78D1"/>
    <w:rsid w:val="00515724"/>
    <w:rsid w:val="00530E19"/>
    <w:rsid w:val="00530EE5"/>
    <w:rsid w:val="00534CDB"/>
    <w:rsid w:val="0055559A"/>
    <w:rsid w:val="005648D7"/>
    <w:rsid w:val="00576FEF"/>
    <w:rsid w:val="005809A7"/>
    <w:rsid w:val="005846D2"/>
    <w:rsid w:val="005B311F"/>
    <w:rsid w:val="005C0828"/>
    <w:rsid w:val="005D32D0"/>
    <w:rsid w:val="005D6AD6"/>
    <w:rsid w:val="005F0890"/>
    <w:rsid w:val="005F1F09"/>
    <w:rsid w:val="00611013"/>
    <w:rsid w:val="00620705"/>
    <w:rsid w:val="00640F4E"/>
    <w:rsid w:val="00650052"/>
    <w:rsid w:val="00664F3F"/>
    <w:rsid w:val="00667504"/>
    <w:rsid w:val="00667A66"/>
    <w:rsid w:val="0067463E"/>
    <w:rsid w:val="0068556E"/>
    <w:rsid w:val="00692D29"/>
    <w:rsid w:val="006A2D19"/>
    <w:rsid w:val="006C4363"/>
    <w:rsid w:val="006C6153"/>
    <w:rsid w:val="006E11FF"/>
    <w:rsid w:val="006F3E32"/>
    <w:rsid w:val="006F78A9"/>
    <w:rsid w:val="00704FD0"/>
    <w:rsid w:val="00720EC1"/>
    <w:rsid w:val="00732375"/>
    <w:rsid w:val="00741359"/>
    <w:rsid w:val="00760728"/>
    <w:rsid w:val="00765CC4"/>
    <w:rsid w:val="007711AD"/>
    <w:rsid w:val="007718BE"/>
    <w:rsid w:val="00777AF6"/>
    <w:rsid w:val="00783F5D"/>
    <w:rsid w:val="007A7785"/>
    <w:rsid w:val="007A7A27"/>
    <w:rsid w:val="007B4AA3"/>
    <w:rsid w:val="007C4A3D"/>
    <w:rsid w:val="007D22BD"/>
    <w:rsid w:val="007F5FD0"/>
    <w:rsid w:val="00820FCC"/>
    <w:rsid w:val="00827112"/>
    <w:rsid w:val="0084310F"/>
    <w:rsid w:val="00846684"/>
    <w:rsid w:val="00847BC6"/>
    <w:rsid w:val="00850077"/>
    <w:rsid w:val="00880A48"/>
    <w:rsid w:val="00882973"/>
    <w:rsid w:val="00883FAB"/>
    <w:rsid w:val="00892A57"/>
    <w:rsid w:val="008A5126"/>
    <w:rsid w:val="008D006A"/>
    <w:rsid w:val="00922926"/>
    <w:rsid w:val="0094164D"/>
    <w:rsid w:val="00954AFB"/>
    <w:rsid w:val="00966CB8"/>
    <w:rsid w:val="00967544"/>
    <w:rsid w:val="0097082A"/>
    <w:rsid w:val="00973F40"/>
    <w:rsid w:val="0097680E"/>
    <w:rsid w:val="0098606C"/>
    <w:rsid w:val="009A366B"/>
    <w:rsid w:val="009C1720"/>
    <w:rsid w:val="009C67CC"/>
    <w:rsid w:val="009C72BE"/>
    <w:rsid w:val="009D6762"/>
    <w:rsid w:val="009D6C1C"/>
    <w:rsid w:val="009E0EF2"/>
    <w:rsid w:val="009E6995"/>
    <w:rsid w:val="009F0226"/>
    <w:rsid w:val="00A049B0"/>
    <w:rsid w:val="00A10A33"/>
    <w:rsid w:val="00A26D9E"/>
    <w:rsid w:val="00A31036"/>
    <w:rsid w:val="00A3284F"/>
    <w:rsid w:val="00A40DC3"/>
    <w:rsid w:val="00A43C05"/>
    <w:rsid w:val="00A4797E"/>
    <w:rsid w:val="00A5479A"/>
    <w:rsid w:val="00A61353"/>
    <w:rsid w:val="00A653BE"/>
    <w:rsid w:val="00A66D25"/>
    <w:rsid w:val="00A8053C"/>
    <w:rsid w:val="00A80D21"/>
    <w:rsid w:val="00A86D9B"/>
    <w:rsid w:val="00A96C89"/>
    <w:rsid w:val="00AA023E"/>
    <w:rsid w:val="00AA257C"/>
    <w:rsid w:val="00AB4876"/>
    <w:rsid w:val="00AD7CC6"/>
    <w:rsid w:val="00AF0AA7"/>
    <w:rsid w:val="00AF142C"/>
    <w:rsid w:val="00AF62F8"/>
    <w:rsid w:val="00B1106B"/>
    <w:rsid w:val="00B259FE"/>
    <w:rsid w:val="00B47669"/>
    <w:rsid w:val="00B54ADB"/>
    <w:rsid w:val="00B7265E"/>
    <w:rsid w:val="00C03622"/>
    <w:rsid w:val="00C07A4D"/>
    <w:rsid w:val="00C31496"/>
    <w:rsid w:val="00C537C2"/>
    <w:rsid w:val="00C728B6"/>
    <w:rsid w:val="00C73ABC"/>
    <w:rsid w:val="00C77DF3"/>
    <w:rsid w:val="00CA0E4C"/>
    <w:rsid w:val="00CA3106"/>
    <w:rsid w:val="00CB33A7"/>
    <w:rsid w:val="00CB7E6B"/>
    <w:rsid w:val="00CC1F1A"/>
    <w:rsid w:val="00CC4B24"/>
    <w:rsid w:val="00CC71E4"/>
    <w:rsid w:val="00CD592C"/>
    <w:rsid w:val="00CD720B"/>
    <w:rsid w:val="00CE3872"/>
    <w:rsid w:val="00CF655B"/>
    <w:rsid w:val="00D01A61"/>
    <w:rsid w:val="00D27546"/>
    <w:rsid w:val="00D33FAF"/>
    <w:rsid w:val="00D3705C"/>
    <w:rsid w:val="00D44700"/>
    <w:rsid w:val="00D54372"/>
    <w:rsid w:val="00D61706"/>
    <w:rsid w:val="00D829F8"/>
    <w:rsid w:val="00D86933"/>
    <w:rsid w:val="00DA1BF1"/>
    <w:rsid w:val="00DB3D1D"/>
    <w:rsid w:val="00DC3934"/>
    <w:rsid w:val="00DD2FAE"/>
    <w:rsid w:val="00DD394C"/>
    <w:rsid w:val="00DF7946"/>
    <w:rsid w:val="00E06623"/>
    <w:rsid w:val="00E115AA"/>
    <w:rsid w:val="00E140FE"/>
    <w:rsid w:val="00E26360"/>
    <w:rsid w:val="00E35544"/>
    <w:rsid w:val="00E6588F"/>
    <w:rsid w:val="00E94FF1"/>
    <w:rsid w:val="00EA0CB6"/>
    <w:rsid w:val="00EC6179"/>
    <w:rsid w:val="00ED084A"/>
    <w:rsid w:val="00ED46CB"/>
    <w:rsid w:val="00F10FB1"/>
    <w:rsid w:val="00F1395B"/>
    <w:rsid w:val="00F42484"/>
    <w:rsid w:val="00F447F1"/>
    <w:rsid w:val="00F45D9C"/>
    <w:rsid w:val="00F56891"/>
    <w:rsid w:val="00F57073"/>
    <w:rsid w:val="00F66B2A"/>
    <w:rsid w:val="00F72287"/>
    <w:rsid w:val="00F7447C"/>
    <w:rsid w:val="00F94B15"/>
    <w:rsid w:val="00FA1E89"/>
    <w:rsid w:val="00FB36B6"/>
    <w:rsid w:val="00FB7688"/>
    <w:rsid w:val="00FC02A6"/>
    <w:rsid w:val="00FE4427"/>
    <w:rsid w:val="00FE6FAC"/>
    <w:rsid w:val="00FF050B"/>
    <w:rsid w:val="01356CBB"/>
    <w:rsid w:val="039E2578"/>
    <w:rsid w:val="0456A8A2"/>
    <w:rsid w:val="0512ECA4"/>
    <w:rsid w:val="0555094E"/>
    <w:rsid w:val="056CBC1C"/>
    <w:rsid w:val="06551754"/>
    <w:rsid w:val="065D8805"/>
    <w:rsid w:val="0831E0F7"/>
    <w:rsid w:val="0C3CF703"/>
    <w:rsid w:val="0D1D049C"/>
    <w:rsid w:val="0DA08705"/>
    <w:rsid w:val="0E01D1C0"/>
    <w:rsid w:val="0E4D5AF4"/>
    <w:rsid w:val="0FC7D0F8"/>
    <w:rsid w:val="11039091"/>
    <w:rsid w:val="112BBA40"/>
    <w:rsid w:val="11EB4864"/>
    <w:rsid w:val="128D148E"/>
    <w:rsid w:val="12B7D3AE"/>
    <w:rsid w:val="12EF4E6C"/>
    <w:rsid w:val="1303CABC"/>
    <w:rsid w:val="13470B27"/>
    <w:rsid w:val="135808E7"/>
    <w:rsid w:val="13A66F7D"/>
    <w:rsid w:val="1444A451"/>
    <w:rsid w:val="17A9424C"/>
    <w:rsid w:val="181D303F"/>
    <w:rsid w:val="197ABDE8"/>
    <w:rsid w:val="1A463DDD"/>
    <w:rsid w:val="1AA79CC8"/>
    <w:rsid w:val="1AC2D20C"/>
    <w:rsid w:val="1CED7865"/>
    <w:rsid w:val="1E067048"/>
    <w:rsid w:val="1E42ACB4"/>
    <w:rsid w:val="1EA9156F"/>
    <w:rsid w:val="1EDF498A"/>
    <w:rsid w:val="1EFCABB8"/>
    <w:rsid w:val="2009682A"/>
    <w:rsid w:val="2122F583"/>
    <w:rsid w:val="22D5E4FE"/>
    <w:rsid w:val="23C933ED"/>
    <w:rsid w:val="242EA78D"/>
    <w:rsid w:val="24661A38"/>
    <w:rsid w:val="2519CA77"/>
    <w:rsid w:val="25598200"/>
    <w:rsid w:val="25A2E205"/>
    <w:rsid w:val="260D85C0"/>
    <w:rsid w:val="29F81D01"/>
    <w:rsid w:val="2AB9C916"/>
    <w:rsid w:val="2BCE30AE"/>
    <w:rsid w:val="2C7CC744"/>
    <w:rsid w:val="2D4F7454"/>
    <w:rsid w:val="2D599822"/>
    <w:rsid w:val="2E470D54"/>
    <w:rsid w:val="315D372A"/>
    <w:rsid w:val="32005320"/>
    <w:rsid w:val="3234C712"/>
    <w:rsid w:val="33140B14"/>
    <w:rsid w:val="34455ABC"/>
    <w:rsid w:val="360A812D"/>
    <w:rsid w:val="3644B4AC"/>
    <w:rsid w:val="380DD9C8"/>
    <w:rsid w:val="39420E68"/>
    <w:rsid w:val="3A7BED51"/>
    <w:rsid w:val="3AB0D964"/>
    <w:rsid w:val="3B59350D"/>
    <w:rsid w:val="3BEE9C44"/>
    <w:rsid w:val="3D20E3B3"/>
    <w:rsid w:val="3DFA189E"/>
    <w:rsid w:val="3E50DB57"/>
    <w:rsid w:val="3F4D1E04"/>
    <w:rsid w:val="405683A1"/>
    <w:rsid w:val="4071E65C"/>
    <w:rsid w:val="40BBF4B8"/>
    <w:rsid w:val="417ACC12"/>
    <w:rsid w:val="419AB486"/>
    <w:rsid w:val="4420908B"/>
    <w:rsid w:val="445BBDBE"/>
    <w:rsid w:val="44EF606D"/>
    <w:rsid w:val="451EF370"/>
    <w:rsid w:val="4521C471"/>
    <w:rsid w:val="4691D01A"/>
    <w:rsid w:val="46D6C628"/>
    <w:rsid w:val="46EFA466"/>
    <w:rsid w:val="4771F33C"/>
    <w:rsid w:val="48082ADD"/>
    <w:rsid w:val="482C6C33"/>
    <w:rsid w:val="495A5CE5"/>
    <w:rsid w:val="49759FFA"/>
    <w:rsid w:val="49A4F26B"/>
    <w:rsid w:val="49BC26A6"/>
    <w:rsid w:val="49C61180"/>
    <w:rsid w:val="4A7ED75D"/>
    <w:rsid w:val="4B5CB2A0"/>
    <w:rsid w:val="4D817E5F"/>
    <w:rsid w:val="4FA875C2"/>
    <w:rsid w:val="51A44E0F"/>
    <w:rsid w:val="54C7F185"/>
    <w:rsid w:val="556DBAC1"/>
    <w:rsid w:val="574CA320"/>
    <w:rsid w:val="589E0224"/>
    <w:rsid w:val="58A55B83"/>
    <w:rsid w:val="59865732"/>
    <w:rsid w:val="5B821E45"/>
    <w:rsid w:val="5BDCFC45"/>
    <w:rsid w:val="5BE67916"/>
    <w:rsid w:val="5C8E3F4C"/>
    <w:rsid w:val="5EB34C82"/>
    <w:rsid w:val="5EE0873C"/>
    <w:rsid w:val="5F5C8F9A"/>
    <w:rsid w:val="614F04AD"/>
    <w:rsid w:val="620542EA"/>
    <w:rsid w:val="6233156C"/>
    <w:rsid w:val="6251ACF7"/>
    <w:rsid w:val="6287366B"/>
    <w:rsid w:val="651B422B"/>
    <w:rsid w:val="69F3E2E4"/>
    <w:rsid w:val="6AAF5274"/>
    <w:rsid w:val="6B0A31F7"/>
    <w:rsid w:val="6CB148DF"/>
    <w:rsid w:val="6CCDBAA5"/>
    <w:rsid w:val="6D1FE9E7"/>
    <w:rsid w:val="6D7E1A40"/>
    <w:rsid w:val="6E8F83C6"/>
    <w:rsid w:val="6EBD5A49"/>
    <w:rsid w:val="71CA631D"/>
    <w:rsid w:val="71DDFF0F"/>
    <w:rsid w:val="728DC732"/>
    <w:rsid w:val="7500B240"/>
    <w:rsid w:val="7728C273"/>
    <w:rsid w:val="799342F4"/>
    <w:rsid w:val="7A074CBD"/>
    <w:rsid w:val="7C61FB97"/>
    <w:rsid w:val="7D6EE6E7"/>
    <w:rsid w:val="7D8BD44F"/>
    <w:rsid w:val="7DD04E2C"/>
    <w:rsid w:val="7EA88455"/>
    <w:rsid w:val="7EED3FC8"/>
    <w:rsid w:val="7F7B4E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865F"/>
  <w15:chartTrackingRefBased/>
  <w15:docId w15:val="{E5B41925-3B53-48D9-A28A-2C6B0AA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19"/>
  </w:style>
  <w:style w:type="paragraph" w:styleId="FootnoteText">
    <w:name w:val="footnote text"/>
    <w:basedOn w:val="Normal"/>
    <w:link w:val="FootnoteTextChar"/>
    <w:uiPriority w:val="99"/>
    <w:semiHidden/>
    <w:unhideWhenUsed/>
    <w:rsid w:val="00530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E19"/>
    <w:rPr>
      <w:sz w:val="20"/>
      <w:szCs w:val="20"/>
    </w:rPr>
  </w:style>
  <w:style w:type="character" w:styleId="FootnoteReference">
    <w:name w:val="footnote reference"/>
    <w:basedOn w:val="DefaultParagraphFont"/>
    <w:uiPriority w:val="99"/>
    <w:semiHidden/>
    <w:unhideWhenUsed/>
    <w:rsid w:val="00530E19"/>
    <w:rPr>
      <w:vertAlign w:val="superscript"/>
    </w:rPr>
  </w:style>
  <w:style w:type="character" w:styleId="CommentReference">
    <w:name w:val="annotation reference"/>
    <w:basedOn w:val="DefaultParagraphFont"/>
    <w:uiPriority w:val="99"/>
    <w:semiHidden/>
    <w:unhideWhenUsed/>
    <w:rsid w:val="00530E19"/>
    <w:rPr>
      <w:sz w:val="16"/>
      <w:szCs w:val="16"/>
    </w:rPr>
  </w:style>
  <w:style w:type="paragraph" w:styleId="CommentText">
    <w:name w:val="annotation text"/>
    <w:basedOn w:val="Normal"/>
    <w:link w:val="CommentTextChar"/>
    <w:uiPriority w:val="99"/>
    <w:unhideWhenUsed/>
    <w:rsid w:val="00530E19"/>
    <w:pPr>
      <w:spacing w:line="240" w:lineRule="auto"/>
    </w:pPr>
    <w:rPr>
      <w:sz w:val="20"/>
      <w:szCs w:val="20"/>
    </w:rPr>
  </w:style>
  <w:style w:type="character" w:customStyle="1" w:styleId="CommentTextChar">
    <w:name w:val="Comment Text Char"/>
    <w:basedOn w:val="DefaultParagraphFont"/>
    <w:link w:val="CommentText"/>
    <w:uiPriority w:val="99"/>
    <w:rsid w:val="00530E19"/>
    <w:rPr>
      <w:sz w:val="20"/>
      <w:szCs w:val="20"/>
    </w:rPr>
  </w:style>
  <w:style w:type="character" w:styleId="Hyperlink">
    <w:name w:val="Hyperlink"/>
    <w:basedOn w:val="DefaultParagraphFont"/>
    <w:uiPriority w:val="99"/>
    <w:unhideWhenUsed/>
    <w:rsid w:val="00530E19"/>
    <w:rPr>
      <w:color w:val="0563C1" w:themeColor="hyperlink"/>
      <w:u w:val="single"/>
    </w:rPr>
  </w:style>
  <w:style w:type="character" w:styleId="UnresolvedMention">
    <w:name w:val="Unresolved Mention"/>
    <w:basedOn w:val="DefaultParagraphFont"/>
    <w:uiPriority w:val="99"/>
    <w:unhideWhenUsed/>
    <w:rsid w:val="00530E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2375"/>
    <w:rPr>
      <w:b/>
      <w:bCs/>
    </w:rPr>
  </w:style>
  <w:style w:type="character" w:customStyle="1" w:styleId="CommentSubjectChar">
    <w:name w:val="Comment Subject Char"/>
    <w:basedOn w:val="CommentTextChar"/>
    <w:link w:val="CommentSubject"/>
    <w:uiPriority w:val="99"/>
    <w:semiHidden/>
    <w:rsid w:val="00732375"/>
    <w:rPr>
      <w:b/>
      <w:bCs/>
      <w:sz w:val="20"/>
      <w:szCs w:val="20"/>
    </w:rPr>
  </w:style>
  <w:style w:type="paragraph" w:styleId="ListParagraph">
    <w:name w:val="List Paragraph"/>
    <w:basedOn w:val="Normal"/>
    <w:uiPriority w:val="34"/>
    <w:qFormat/>
    <w:rsid w:val="00954AFB"/>
    <w:pPr>
      <w:spacing w:after="0" w:line="276" w:lineRule="auto"/>
      <w:ind w:left="720"/>
      <w:contextualSpacing/>
    </w:pPr>
    <w:rPr>
      <w:rFonts w:ascii="Montserrat" w:eastAsia="Montserrat" w:hAnsi="Montserrat" w:cs="Montserrat"/>
      <w:color w:val="262626"/>
      <w:sz w:val="18"/>
      <w:szCs w:val="18"/>
      <w:lang w:eastAsia="en-GB"/>
    </w:rPr>
  </w:style>
  <w:style w:type="paragraph" w:styleId="Header">
    <w:name w:val="header"/>
    <w:basedOn w:val="Normal"/>
    <w:link w:val="HeaderChar"/>
    <w:uiPriority w:val="99"/>
    <w:unhideWhenUsed/>
    <w:rsid w:val="00145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547"/>
  </w:style>
  <w:style w:type="character" w:styleId="Mention">
    <w:name w:val="Mention"/>
    <w:basedOn w:val="DefaultParagraphFont"/>
    <w:uiPriority w:val="99"/>
    <w:unhideWhenUsed/>
    <w:rsid w:val="00DC3934"/>
    <w:rPr>
      <w:color w:val="2B579A"/>
      <w:shd w:val="clear" w:color="auto" w:fill="E6E6E6"/>
    </w:rPr>
  </w:style>
  <w:style w:type="character" w:styleId="FollowedHyperlink">
    <w:name w:val="FollowedHyperlink"/>
    <w:basedOn w:val="DefaultParagraphFont"/>
    <w:uiPriority w:val="99"/>
    <w:semiHidden/>
    <w:unhideWhenUsed/>
    <w:rsid w:val="00A86D9B"/>
    <w:rPr>
      <w:color w:val="954F72" w:themeColor="followedHyperlink"/>
      <w:u w:val="single"/>
    </w:rPr>
  </w:style>
  <w:style w:type="paragraph" w:styleId="Revision">
    <w:name w:val="Revision"/>
    <w:hidden/>
    <w:uiPriority w:val="99"/>
    <w:semiHidden/>
    <w:rsid w:val="002C4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556">
      <w:bodyDiv w:val="1"/>
      <w:marLeft w:val="0"/>
      <w:marRight w:val="0"/>
      <w:marTop w:val="0"/>
      <w:marBottom w:val="0"/>
      <w:divBdr>
        <w:top w:val="none" w:sz="0" w:space="0" w:color="auto"/>
        <w:left w:val="none" w:sz="0" w:space="0" w:color="auto"/>
        <w:bottom w:val="none" w:sz="0" w:space="0" w:color="auto"/>
        <w:right w:val="none" w:sz="0" w:space="0" w:color="auto"/>
      </w:divBdr>
    </w:div>
    <w:div w:id="239019781">
      <w:bodyDiv w:val="1"/>
      <w:marLeft w:val="0"/>
      <w:marRight w:val="0"/>
      <w:marTop w:val="0"/>
      <w:marBottom w:val="0"/>
      <w:divBdr>
        <w:top w:val="none" w:sz="0" w:space="0" w:color="auto"/>
        <w:left w:val="none" w:sz="0" w:space="0" w:color="auto"/>
        <w:bottom w:val="none" w:sz="0" w:space="0" w:color="auto"/>
        <w:right w:val="none" w:sz="0" w:space="0" w:color="auto"/>
      </w:divBdr>
      <w:divsChild>
        <w:div w:id="206570178">
          <w:marLeft w:val="0"/>
          <w:marRight w:val="0"/>
          <w:marTop w:val="0"/>
          <w:marBottom w:val="0"/>
          <w:divBdr>
            <w:top w:val="none" w:sz="0" w:space="0" w:color="auto"/>
            <w:left w:val="none" w:sz="0" w:space="0" w:color="auto"/>
            <w:bottom w:val="none" w:sz="0" w:space="0" w:color="auto"/>
            <w:right w:val="none" w:sz="0" w:space="0" w:color="auto"/>
          </w:divBdr>
        </w:div>
        <w:div w:id="227349242">
          <w:marLeft w:val="0"/>
          <w:marRight w:val="0"/>
          <w:marTop w:val="0"/>
          <w:marBottom w:val="0"/>
          <w:divBdr>
            <w:top w:val="none" w:sz="0" w:space="0" w:color="auto"/>
            <w:left w:val="none" w:sz="0" w:space="0" w:color="auto"/>
            <w:bottom w:val="none" w:sz="0" w:space="0" w:color="auto"/>
            <w:right w:val="none" w:sz="0" w:space="0" w:color="auto"/>
          </w:divBdr>
          <w:divsChild>
            <w:div w:id="1366910506">
              <w:marLeft w:val="0"/>
              <w:marRight w:val="0"/>
              <w:marTop w:val="0"/>
              <w:marBottom w:val="0"/>
              <w:divBdr>
                <w:top w:val="none" w:sz="0" w:space="0" w:color="auto"/>
                <w:left w:val="none" w:sz="0" w:space="0" w:color="auto"/>
                <w:bottom w:val="none" w:sz="0" w:space="0" w:color="auto"/>
                <w:right w:val="none" w:sz="0" w:space="0" w:color="auto"/>
              </w:divBdr>
              <w:divsChild>
                <w:div w:id="1043024716">
                  <w:marLeft w:val="0"/>
                  <w:marRight w:val="0"/>
                  <w:marTop w:val="0"/>
                  <w:marBottom w:val="720"/>
                  <w:divBdr>
                    <w:top w:val="none" w:sz="0" w:space="0" w:color="auto"/>
                    <w:left w:val="none" w:sz="0" w:space="0" w:color="auto"/>
                    <w:bottom w:val="none" w:sz="0" w:space="0" w:color="auto"/>
                    <w:right w:val="none" w:sz="0" w:space="0" w:color="auto"/>
                  </w:divBdr>
                  <w:divsChild>
                    <w:div w:id="1578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3845">
      <w:bodyDiv w:val="1"/>
      <w:marLeft w:val="0"/>
      <w:marRight w:val="0"/>
      <w:marTop w:val="0"/>
      <w:marBottom w:val="0"/>
      <w:divBdr>
        <w:top w:val="none" w:sz="0" w:space="0" w:color="auto"/>
        <w:left w:val="none" w:sz="0" w:space="0" w:color="auto"/>
        <w:bottom w:val="none" w:sz="0" w:space="0" w:color="auto"/>
        <w:right w:val="none" w:sz="0" w:space="0" w:color="auto"/>
      </w:divBdr>
      <w:divsChild>
        <w:div w:id="968047337">
          <w:marLeft w:val="225"/>
          <w:marRight w:val="225"/>
          <w:marTop w:val="0"/>
          <w:marBottom w:val="450"/>
          <w:divBdr>
            <w:top w:val="none" w:sz="0" w:space="0" w:color="auto"/>
            <w:left w:val="none" w:sz="0" w:space="0" w:color="auto"/>
            <w:bottom w:val="none" w:sz="0" w:space="0" w:color="auto"/>
            <w:right w:val="none" w:sz="0" w:space="0" w:color="auto"/>
          </w:divBdr>
        </w:div>
        <w:div w:id="1373307266">
          <w:marLeft w:val="225"/>
          <w:marRight w:val="225"/>
          <w:marTop w:val="0"/>
          <w:marBottom w:val="450"/>
          <w:divBdr>
            <w:top w:val="none" w:sz="0" w:space="0" w:color="auto"/>
            <w:left w:val="none" w:sz="0" w:space="0" w:color="auto"/>
            <w:bottom w:val="none" w:sz="0" w:space="0" w:color="auto"/>
            <w:right w:val="none" w:sz="0" w:space="0" w:color="auto"/>
          </w:divBdr>
        </w:div>
        <w:div w:id="1400052879">
          <w:marLeft w:val="225"/>
          <w:marRight w:val="225"/>
          <w:marTop w:val="0"/>
          <w:marBottom w:val="450"/>
          <w:divBdr>
            <w:top w:val="none" w:sz="0" w:space="0" w:color="auto"/>
            <w:left w:val="none" w:sz="0" w:space="0" w:color="auto"/>
            <w:bottom w:val="none" w:sz="0" w:space="0" w:color="auto"/>
            <w:right w:val="none" w:sz="0" w:space="0" w:color="auto"/>
          </w:divBdr>
        </w:div>
        <w:div w:id="1638753553">
          <w:marLeft w:val="225"/>
          <w:marRight w:val="225"/>
          <w:marTop w:val="0"/>
          <w:marBottom w:val="450"/>
          <w:divBdr>
            <w:top w:val="none" w:sz="0" w:space="0" w:color="auto"/>
            <w:left w:val="none" w:sz="0" w:space="0" w:color="auto"/>
            <w:bottom w:val="none" w:sz="0" w:space="0" w:color="auto"/>
            <w:right w:val="none" w:sz="0" w:space="0" w:color="auto"/>
          </w:divBdr>
        </w:div>
      </w:divsChild>
    </w:div>
    <w:div w:id="404035976">
      <w:bodyDiv w:val="1"/>
      <w:marLeft w:val="0"/>
      <w:marRight w:val="0"/>
      <w:marTop w:val="0"/>
      <w:marBottom w:val="0"/>
      <w:divBdr>
        <w:top w:val="none" w:sz="0" w:space="0" w:color="auto"/>
        <w:left w:val="none" w:sz="0" w:space="0" w:color="auto"/>
        <w:bottom w:val="none" w:sz="0" w:space="0" w:color="auto"/>
        <w:right w:val="none" w:sz="0" w:space="0" w:color="auto"/>
      </w:divBdr>
      <w:divsChild>
        <w:div w:id="343434818">
          <w:marLeft w:val="0"/>
          <w:marRight w:val="0"/>
          <w:marTop w:val="0"/>
          <w:marBottom w:val="0"/>
          <w:divBdr>
            <w:top w:val="none" w:sz="0" w:space="0" w:color="auto"/>
            <w:left w:val="none" w:sz="0" w:space="0" w:color="auto"/>
            <w:bottom w:val="none" w:sz="0" w:space="0" w:color="auto"/>
            <w:right w:val="none" w:sz="0" w:space="0" w:color="auto"/>
          </w:divBdr>
        </w:div>
      </w:divsChild>
    </w:div>
    <w:div w:id="758791486">
      <w:bodyDiv w:val="1"/>
      <w:marLeft w:val="0"/>
      <w:marRight w:val="0"/>
      <w:marTop w:val="0"/>
      <w:marBottom w:val="0"/>
      <w:divBdr>
        <w:top w:val="none" w:sz="0" w:space="0" w:color="auto"/>
        <w:left w:val="none" w:sz="0" w:space="0" w:color="auto"/>
        <w:bottom w:val="none" w:sz="0" w:space="0" w:color="auto"/>
        <w:right w:val="none" w:sz="0" w:space="0" w:color="auto"/>
      </w:divBdr>
      <w:divsChild>
        <w:div w:id="1816414822">
          <w:marLeft w:val="0"/>
          <w:marRight w:val="0"/>
          <w:marTop w:val="0"/>
          <w:marBottom w:val="0"/>
          <w:divBdr>
            <w:top w:val="none" w:sz="0" w:space="0" w:color="auto"/>
            <w:left w:val="none" w:sz="0" w:space="0" w:color="auto"/>
            <w:bottom w:val="none" w:sz="0" w:space="0" w:color="auto"/>
            <w:right w:val="none" w:sz="0" w:space="0" w:color="auto"/>
          </w:divBdr>
        </w:div>
        <w:div w:id="2125078878">
          <w:marLeft w:val="0"/>
          <w:marRight w:val="0"/>
          <w:marTop w:val="0"/>
          <w:marBottom w:val="0"/>
          <w:divBdr>
            <w:top w:val="none" w:sz="0" w:space="0" w:color="auto"/>
            <w:left w:val="none" w:sz="0" w:space="0" w:color="auto"/>
            <w:bottom w:val="none" w:sz="0" w:space="0" w:color="auto"/>
            <w:right w:val="none" w:sz="0" w:space="0" w:color="auto"/>
          </w:divBdr>
          <w:divsChild>
            <w:div w:id="1847667034">
              <w:marLeft w:val="0"/>
              <w:marRight w:val="0"/>
              <w:marTop w:val="0"/>
              <w:marBottom w:val="0"/>
              <w:divBdr>
                <w:top w:val="none" w:sz="0" w:space="0" w:color="auto"/>
                <w:left w:val="none" w:sz="0" w:space="0" w:color="auto"/>
                <w:bottom w:val="none" w:sz="0" w:space="0" w:color="auto"/>
                <w:right w:val="none" w:sz="0" w:space="0" w:color="auto"/>
              </w:divBdr>
              <w:divsChild>
                <w:div w:id="2106339548">
                  <w:marLeft w:val="0"/>
                  <w:marRight w:val="0"/>
                  <w:marTop w:val="0"/>
                  <w:marBottom w:val="720"/>
                  <w:divBdr>
                    <w:top w:val="none" w:sz="0" w:space="0" w:color="auto"/>
                    <w:left w:val="none" w:sz="0" w:space="0" w:color="auto"/>
                    <w:bottom w:val="none" w:sz="0" w:space="0" w:color="auto"/>
                    <w:right w:val="none" w:sz="0" w:space="0" w:color="auto"/>
                  </w:divBdr>
                  <w:divsChild>
                    <w:div w:id="920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3682">
      <w:bodyDiv w:val="1"/>
      <w:marLeft w:val="0"/>
      <w:marRight w:val="0"/>
      <w:marTop w:val="0"/>
      <w:marBottom w:val="0"/>
      <w:divBdr>
        <w:top w:val="none" w:sz="0" w:space="0" w:color="auto"/>
        <w:left w:val="none" w:sz="0" w:space="0" w:color="auto"/>
        <w:bottom w:val="none" w:sz="0" w:space="0" w:color="auto"/>
        <w:right w:val="none" w:sz="0" w:space="0" w:color="auto"/>
      </w:divBdr>
    </w:div>
    <w:div w:id="1174951328">
      <w:bodyDiv w:val="1"/>
      <w:marLeft w:val="0"/>
      <w:marRight w:val="0"/>
      <w:marTop w:val="0"/>
      <w:marBottom w:val="0"/>
      <w:divBdr>
        <w:top w:val="none" w:sz="0" w:space="0" w:color="auto"/>
        <w:left w:val="none" w:sz="0" w:space="0" w:color="auto"/>
        <w:bottom w:val="none" w:sz="0" w:space="0" w:color="auto"/>
        <w:right w:val="none" w:sz="0" w:space="0" w:color="auto"/>
      </w:divBdr>
    </w:div>
    <w:div w:id="20585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andenterprise.zendesk.com/hc/en-gb" TargetMode="External"/><Relationship Id="rId18" Type="http://schemas.openxmlformats.org/officeDocument/2006/relationships/hyperlink" Target="https://resources.careersandenterprise.co.uk/resources/evaluation-guide-careers-activities-and-programmes" TargetMode="External"/><Relationship Id="rId26" Type="http://schemas.openxmlformats.org/officeDocument/2006/relationships/image" Target="media/image4.png"/><Relationship Id="rId39" Type="http://schemas.openxmlformats.org/officeDocument/2006/relationships/hyperlink" Target="https://cls.ucl.ac.uk/cls-studies/millennium-cohort-study/mcs-age-17-sweep/" TargetMode="External"/><Relationship Id="rId21" Type="http://schemas.openxmlformats.org/officeDocument/2006/relationships/hyperlink" Target="https://resources.careersandenterprise.co.uk/resources/impact-evaluation-resource-and-support-survey-questions" TargetMode="External"/><Relationship Id="rId34" Type="http://schemas.openxmlformats.org/officeDocument/2006/relationships/image" Target="media/image7.png"/><Relationship Id="rId42" Type="http://schemas.openxmlformats.org/officeDocument/2006/relationships/hyperlink" Target="https://www.careersandenterprise.co.uk/research/our-research/review-of-local-destinations-data/" TargetMode="External"/><Relationship Id="rId47" Type="http://schemas.openxmlformats.org/officeDocument/2006/relationships/hyperlink" Target="https://careersandenterprise.zendesk.com/hc/en-gb/articles/360021999440-How-to-understand-your-Dashboard-pupil-intended-destinations-data" TargetMode="External"/><Relationship Id="rId50" Type="http://schemas.openxmlformats.org/officeDocument/2006/relationships/hyperlink" Target="https://ico.org.uk/for-organisations/guide-to-data-protection/guide-to-the-general-data-protection-regulation-gdpr/lawful-basis-for-processing/consent/" TargetMode="External"/><Relationship Id="rId55" Type="http://schemas.openxmlformats.org/officeDocument/2006/relationships/hyperlink" Target="https://resources.careersandenterprise.co.uk/all-resources-all-one-place?op=%EF%80%82&amp;q=destination%20data" TargetMode="External"/><Relationship Id="rId63"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plore-education-statistics.service.gov.uk/find-statistics/longer-term-destinations" TargetMode="External"/><Relationship Id="rId29" Type="http://schemas.openxmlformats.org/officeDocument/2006/relationships/hyperlink" Target="https://www.pshe-association.org.uk/curriculum-and-resources/resources/programme-study-pshe-education-key-stages-1%E2%80%935" TargetMode="External"/><Relationship Id="rId11" Type="http://schemas.openxmlformats.org/officeDocument/2006/relationships/hyperlink" Target="https://resources.careersandenterprise.co.uk/resources/evaluation-guide-careers-activities-and-programmes" TargetMode="External"/><Relationship Id="rId24" Type="http://schemas.openxmlformats.org/officeDocument/2006/relationships/hyperlink" Target="https://www.thecdi.net/New-Career-Development-Framework" TargetMode="External"/><Relationship Id="rId32" Type="http://schemas.openxmlformats.org/officeDocument/2006/relationships/hyperlink" Target="https://careersandenterprise.zendesk.com/hc/en-gb/sections/360005523299-Future-Skills-Questionnaire" TargetMode="External"/><Relationship Id="rId37" Type="http://schemas.openxmlformats.org/officeDocument/2006/relationships/hyperlink" Target="https://cls.ucl.ac.uk/cls-studies/millennium-cohort-study/mcs-age-11-sweep/" TargetMode="External"/><Relationship Id="rId40" Type="http://schemas.openxmlformats.org/officeDocument/2006/relationships/hyperlink" Target="https://assets.publishing.service.gov.uk/government/uploads/system/uploads/attachment_data/file/1002972/Careers_statutory_guidance.pdf" TargetMode="External"/><Relationship Id="rId45" Type="http://schemas.openxmlformats.org/officeDocument/2006/relationships/hyperlink" Target="https://careersandenterprise.zendesk.com/hc/en-gb" TargetMode="External"/><Relationship Id="rId53" Type="http://schemas.openxmlformats.org/officeDocument/2006/relationships/hyperlink" Target="https://explore-education-statistics.service.gov.uk/find-statistics/longer-term-destinations" TargetMode="External"/><Relationship Id="rId58" Type="http://schemas.openxmlformats.org/officeDocument/2006/relationships/hyperlink" Target="https://resources.careersandenterprise.co.uk/resources/gatsby-benchmark-1-module-1-creating-strategic-careers-plan"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resources.careersandenterprise.co.uk/resources/evaluation-guide-careers-activities-and-programmes" TargetMode="External"/><Relationship Id="rId14" Type="http://schemas.openxmlformats.org/officeDocument/2006/relationships/hyperlink" Target="https://www.skillsbuilder.org/benchmark" TargetMode="External"/><Relationship Id="rId22" Type="http://schemas.openxmlformats.org/officeDocument/2006/relationships/image" Target="media/image2.png"/><Relationship Id="rId27" Type="http://schemas.openxmlformats.org/officeDocument/2006/relationships/hyperlink" Target="https://www.skillsbuilder.org/" TargetMode="External"/><Relationship Id="rId30" Type="http://schemas.openxmlformats.org/officeDocument/2006/relationships/hyperlink" Target="https://educationendowmentfoundation.org.uk/projects-and-evaluation/evaluating-projects/measuring-essential-skills/spectrum-database/" TargetMode="External"/><Relationship Id="rId35" Type="http://schemas.openxmlformats.org/officeDocument/2006/relationships/hyperlink" Target="https://www.tandfonline.com/doi/full/10.1080/03069885.2021.1937515" TargetMode="External"/><Relationship Id="rId43" Type="http://schemas.openxmlformats.org/officeDocument/2006/relationships/hyperlink" Target="https://www.careersandenterprise.co.uk/research/our-research/the-benefits-of-gatsby-benchmark-achievement-for-post-16-destinations/" TargetMode="External"/><Relationship Id="rId48" Type="http://schemas.openxmlformats.org/officeDocument/2006/relationships/image" Target="media/image9.png"/><Relationship Id="rId56" Type="http://schemas.openxmlformats.org/officeDocument/2006/relationships/hyperlink" Target="https://resources.careersandenterprise.co.uk/all-resources-all-one-place?op=%EF%80%82&amp;q=destination%20data" TargetMode="External"/><Relationship Id="rId8" Type="http://schemas.openxmlformats.org/officeDocument/2006/relationships/footnotes" Target="footnotes.xml"/><Relationship Id="rId51" Type="http://schemas.openxmlformats.org/officeDocument/2006/relationships/hyperlink" Target="https://assets.publishing.service.gov.uk/government/uploads/system/uploads/attachment_data/file/748165/Destinations_good_practice_guide_for_publishing.pdf" TargetMode="External"/><Relationship Id="rId3" Type="http://schemas.openxmlformats.org/officeDocument/2006/relationships/customXml" Target="../customXml/item3.xml"/><Relationship Id="rId12" Type="http://schemas.openxmlformats.org/officeDocument/2006/relationships/hyperlink" Target="https://www.careersandenterprise.co.uk/our-evidence/evidence-and-reports/future-skills-questionnaire/" TargetMode="External"/><Relationship Id="rId17" Type="http://schemas.openxmlformats.org/officeDocument/2006/relationships/hyperlink" Target="https://careersandenterprise.zendesk.com/hc/en-gb" TargetMode="External"/><Relationship Id="rId25" Type="http://schemas.openxmlformats.org/officeDocument/2006/relationships/hyperlink" Target="https://www.thecdi.net/write/Framework/Career_Development_Audit_using_the_CDI_Framework-ks3-post16.docx" TargetMode="External"/><Relationship Id="rId33" Type="http://schemas.openxmlformats.org/officeDocument/2006/relationships/image" Target="media/image6.png"/><Relationship Id="rId38" Type="http://schemas.openxmlformats.org/officeDocument/2006/relationships/hyperlink" Target="https://cls.ucl.ac.uk/cls-studies/millennium-cohort-study/mcs-age-14-sweep/" TargetMode="External"/><Relationship Id="rId46" Type="http://schemas.openxmlformats.org/officeDocument/2006/relationships/image" Target="media/image8.png"/><Relationship Id="rId59" Type="http://schemas.openxmlformats.org/officeDocument/2006/relationships/header" Target="header1.xml"/><Relationship Id="rId20" Type="http://schemas.openxmlformats.org/officeDocument/2006/relationships/image" Target="media/image1.png"/><Relationship Id="rId41" Type="http://schemas.openxmlformats.org/officeDocument/2006/relationships/hyperlink" Target="https://assets.publishing.service.gov.uk/government/uploads/system/uploads/attachment_data/file/1002972/Careers_statutory_guidance.pdf" TargetMode="External"/><Relationship Id="rId54" Type="http://schemas.openxmlformats.org/officeDocument/2006/relationships/hyperlink" Target="https://resources.careersandenterprise.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areersandenterprise.zendesk.com/hc/en-gb/categories/360002722979-Compass-"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s://www.gatsby.org.uk/uploads/education/ne-pilot-evaluation-full-report.pdf" TargetMode="External"/><Relationship Id="rId49" Type="http://schemas.openxmlformats.org/officeDocument/2006/relationships/image" Target="media/image10.png"/><Relationship Id="rId57" Type="http://schemas.openxmlformats.org/officeDocument/2006/relationships/image" Target="media/image11.png"/><Relationship Id="rId10" Type="http://schemas.openxmlformats.org/officeDocument/2006/relationships/hyperlink" Target="https://resources.careersandenterprise.co.uk/resources/impact-evaluation-resource-and-support-survey-questions" TargetMode="External"/><Relationship Id="rId31" Type="http://schemas.openxmlformats.org/officeDocument/2006/relationships/hyperlink" Target="https://careersandenterprise.zendesk.com/hc/en-gb/sections/360005523299-Future-Skills-Questionnaire" TargetMode="External"/><Relationship Id="rId44" Type="http://schemas.openxmlformats.org/officeDocument/2006/relationships/hyperlink" Target="https://resources.careersandenterprise.co.uk/resources/school-destination-report-1920-example" TargetMode="External"/><Relationship Id="rId52" Type="http://schemas.openxmlformats.org/officeDocument/2006/relationships/hyperlink" Target="https://www.careersandenterprise.co.uk/our-research/review-local-destinations-data"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documenttasks/documenttasks1.xml><?xml version="1.0" encoding="utf-8"?>
<t:Tasks xmlns:t="http://schemas.microsoft.com/office/tasks/2019/documenttasks" xmlns:oel="http://schemas.microsoft.com/office/2019/extlst">
  <t:Task id="{E467B6FB-1032-4BFB-BB3E-3BB8F735921D}">
    <t:Anchor>
      <t:Comment id="1489245790"/>
    </t:Anchor>
    <t:History>
      <t:Event id="{D0890DCC-46E4-4346-8B6E-46CFCD4B607A}" time="2021-08-02T11:47:09.6Z">
        <t:Attribution userId="S::mjobson@careersandenterprise.co.uk::bb001ab6-dd99-4b09-874d-ddf5a90bdfd2" userProvider="AD" userName="Marie Jobson"/>
        <t:Anchor>
          <t:Comment id="1489245790"/>
        </t:Anchor>
        <t:Create/>
      </t:Event>
      <t:Event id="{8B276058-F166-4475-B885-7AEE413C914A}" time="2021-08-02T11:47:09.6Z">
        <t:Attribution userId="S::mjobson@careersandenterprise.co.uk::bb001ab6-dd99-4b09-874d-ddf5a90bdfd2" userProvider="AD" userName="Marie Jobson"/>
        <t:Anchor>
          <t:Comment id="1489245790"/>
        </t:Anchor>
        <t:Assign userId="S::ifinlay@careersandenterprise.co.uk::5d0f3204-da80-49ab-bcec-61aece9e2bbc" userProvider="AD" userName="Isobel Finlay"/>
      </t:Event>
      <t:Event id="{CE9DC92C-AABC-47F0-BBEF-DEE26FB56F7D}" time="2021-08-02T11:47:09.6Z">
        <t:Attribution userId="S::mjobson@careersandenterprise.co.uk::bb001ab6-dd99-4b09-874d-ddf5a90bdfd2" userProvider="AD" userName="Marie Jobson"/>
        <t:Anchor>
          <t:Comment id="1489245790"/>
        </t:Anchor>
        <t:SetTitle title="@Isobel Finlay"/>
      </t:Event>
      <t:Event id="{5F9E765D-F351-4498-976E-ABED1EFB990A}" time="2021-08-03T08:50:32.8Z">
        <t:Attribution userId="S::ifinlay@careersandenterprise.co.uk::5d0f3204-da80-49ab-bcec-61aece9e2bbc" userProvider="AD" userName="Isobel Finla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9D892FD617B499E0A01A10F82B832" ma:contentTypeVersion="10" ma:contentTypeDescription="Create a new document." ma:contentTypeScope="" ma:versionID="33546a6f196fbc393770898c08e67333">
  <xsd:schema xmlns:xsd="http://www.w3.org/2001/XMLSchema" xmlns:xs="http://www.w3.org/2001/XMLSchema" xmlns:p="http://schemas.microsoft.com/office/2006/metadata/properties" xmlns:ns3="1c8edbe3-8aa4-4ef3-88d9-1658f65e68a8" xmlns:ns4="174eb08c-699a-446d-bfa1-d7cdeb6fc41f" targetNamespace="http://schemas.microsoft.com/office/2006/metadata/properties" ma:root="true" ma:fieldsID="48fae6863dd771d9fd068565f18da3dc" ns3:_="" ns4:_="">
    <xsd:import namespace="1c8edbe3-8aa4-4ef3-88d9-1658f65e68a8"/>
    <xsd:import namespace="174eb08c-699a-446d-bfa1-d7cdeb6fc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dbe3-8aa4-4ef3-88d9-1658f65e6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eb08c-699a-446d-bfa1-d7cdeb6fc4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532B0-9EFC-4A0C-A28F-E4536624F5F8}">
  <ds:schemaRefs>
    <ds:schemaRef ds:uri="http://schemas.microsoft.com/sharepoint/v3/contenttype/forms"/>
  </ds:schemaRefs>
</ds:datastoreItem>
</file>

<file path=customXml/itemProps2.xml><?xml version="1.0" encoding="utf-8"?>
<ds:datastoreItem xmlns:ds="http://schemas.openxmlformats.org/officeDocument/2006/customXml" ds:itemID="{4FFAD45C-EEB0-417E-87ED-09698895F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1B14-5747-4F4C-9A11-704B1365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dbe3-8aa4-4ef3-88d9-1658f65e68a8"/>
    <ds:schemaRef ds:uri="174eb08c-699a-446d-bfa1-d7cdeb6fc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Philippa Hartley</cp:lastModifiedBy>
  <cp:revision>2</cp:revision>
  <dcterms:created xsi:type="dcterms:W3CDTF">2021-10-20T13:24:00Z</dcterms:created>
  <dcterms:modified xsi:type="dcterms:W3CDTF">2021-10-20T13:24:00Z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0x0101001C89D892FD617B499E0A01A10F82B832</vt:lpwstr>
  </property>
</Properties>
</file>