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32" w:rsidRPr="00773687" w:rsidRDefault="00BD15A7" w:rsidP="005560FC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</w:pPr>
      <w:bookmarkStart w:id="0" w:name="_GoBack"/>
      <w:bookmarkEnd w:id="0"/>
      <w:r w:rsidRPr="00773687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 xml:space="preserve">Website - </w:t>
      </w:r>
      <w:r w:rsidR="003E5632" w:rsidRPr="00773687">
        <w:rPr>
          <w:rFonts w:eastAsia="Times New Roman" w:cstheme="minorHAnsi"/>
          <w:b/>
          <w:bCs/>
          <w:color w:val="0B0C0C"/>
          <w:sz w:val="28"/>
          <w:szCs w:val="28"/>
          <w:lang w:eastAsia="en-GB"/>
        </w:rPr>
        <w:t>Careers programme information</w:t>
      </w:r>
    </w:p>
    <w:p w:rsidR="005560FC" w:rsidRPr="003054D8" w:rsidRDefault="005560FC" w:rsidP="005560FC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B0C0C"/>
          <w:lang w:eastAsia="en-GB"/>
        </w:rPr>
      </w:pPr>
    </w:p>
    <w:p w:rsidR="003054D8" w:rsidRDefault="00B24198" w:rsidP="00245E50">
      <w:pPr>
        <w:rPr>
          <w:rFonts w:cstheme="minorHAnsi"/>
        </w:rPr>
      </w:pPr>
      <w:r w:rsidRPr="0060026D">
        <w:rPr>
          <w:rFonts w:cstheme="minorHAnsi"/>
          <w:b/>
        </w:rPr>
        <w:t>The Government has introduced a new legal requirement, from 1 September 2018, for schools to publish information about their careers programme on their websites</w:t>
      </w:r>
      <w:r w:rsidRPr="003054D8">
        <w:rPr>
          <w:rFonts w:cstheme="minorHAnsi"/>
        </w:rPr>
        <w:t xml:space="preserve">. </w:t>
      </w:r>
    </w:p>
    <w:p w:rsidR="00B24198" w:rsidRPr="003054D8" w:rsidRDefault="00B24198" w:rsidP="00B24198">
      <w:pPr>
        <w:rPr>
          <w:rFonts w:cstheme="minorHAnsi"/>
        </w:rPr>
      </w:pPr>
      <w:r w:rsidRPr="003054D8">
        <w:rPr>
          <w:rFonts w:cstheme="minorHAnsi"/>
        </w:rPr>
        <w:t xml:space="preserve">The published information must relate to the delivery of independent careers guidance to year 8-13 pupils in accordance with section 42A of the Education Act 1997 and the expectations set out in this statutory guidance. </w:t>
      </w:r>
      <w:proofErr w:type="gramStart"/>
      <w:r w:rsidRPr="003054D8">
        <w:rPr>
          <w:rFonts w:cstheme="minorHAnsi"/>
        </w:rPr>
        <w:t>In particular, schools</w:t>
      </w:r>
      <w:proofErr w:type="gramEnd"/>
      <w:r w:rsidRPr="003054D8">
        <w:rPr>
          <w:rFonts w:cstheme="minorHAnsi"/>
        </w:rPr>
        <w:t xml:space="preserve"> should demonstrate how they are working towards meeting all eight Gatsby Benchmarks. 26. From September 2018, schools must publish: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05"/>
        <w:gridCol w:w="5171"/>
      </w:tblGrid>
      <w:tr w:rsidR="00245E50" w:rsidRPr="00245E50" w:rsidTr="00773687">
        <w:trPr>
          <w:trHeight w:val="165"/>
        </w:trPr>
        <w:tc>
          <w:tcPr>
            <w:tcW w:w="4605" w:type="dxa"/>
          </w:tcPr>
          <w:p w:rsidR="00245E50" w:rsidRPr="002F28BE" w:rsidRDefault="002F28BE" w:rsidP="008823B1">
            <w:pPr>
              <w:rPr>
                <w:rFonts w:cstheme="minorHAnsi"/>
                <w:b/>
              </w:rPr>
            </w:pPr>
            <w:r w:rsidRPr="002F28BE">
              <w:rPr>
                <w:rFonts w:cstheme="minorHAnsi"/>
                <w:b/>
              </w:rPr>
              <w:t>STATUTORY</w:t>
            </w:r>
          </w:p>
        </w:tc>
        <w:tc>
          <w:tcPr>
            <w:tcW w:w="5171" w:type="dxa"/>
          </w:tcPr>
          <w:p w:rsidR="00245E50" w:rsidRPr="00245E50" w:rsidRDefault="00245E50" w:rsidP="008823B1">
            <w:pPr>
              <w:rPr>
                <w:rFonts w:cstheme="minorHAnsi"/>
              </w:rPr>
            </w:pPr>
          </w:p>
        </w:tc>
      </w:tr>
      <w:tr w:rsidR="002F28BE" w:rsidRPr="00245E50" w:rsidTr="00773687">
        <w:trPr>
          <w:trHeight w:val="630"/>
        </w:trPr>
        <w:tc>
          <w:tcPr>
            <w:tcW w:w="4605" w:type="dxa"/>
          </w:tcPr>
          <w:p w:rsidR="002F28BE" w:rsidRDefault="002F28BE" w:rsidP="002F28BE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>The name, email address and telephone number of the school’s Careers Leader</w:t>
            </w:r>
            <w:r>
              <w:rPr>
                <w:rFonts w:cstheme="minorHAnsi"/>
              </w:rPr>
              <w:t>.</w:t>
            </w:r>
          </w:p>
          <w:p w:rsidR="002F28BE" w:rsidRDefault="002F28BE" w:rsidP="002F28BE">
            <w:pPr>
              <w:rPr>
                <w:rFonts w:cstheme="minorHAnsi"/>
              </w:rPr>
            </w:pPr>
          </w:p>
          <w:p w:rsidR="002F28BE" w:rsidRDefault="002F28BE" w:rsidP="002F28BE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45E50">
              <w:rPr>
                <w:rFonts w:cstheme="minorHAnsi"/>
              </w:rPr>
              <w:t>t is good practice to</w:t>
            </w:r>
            <w:r>
              <w:rPr>
                <w:rFonts w:cstheme="minorHAnsi"/>
              </w:rPr>
              <w:t xml:space="preserve"> M</w:t>
            </w:r>
            <w:r w:rsidRPr="00245E50">
              <w:rPr>
                <w:rFonts w:cstheme="minorHAnsi"/>
              </w:rPr>
              <w:t>ake sure the contact details of the Careers Leader are in a prominent position.</w:t>
            </w:r>
          </w:p>
          <w:p w:rsidR="002F28BE" w:rsidRDefault="002F28BE" w:rsidP="002F28BE">
            <w:pPr>
              <w:rPr>
                <w:rFonts w:cstheme="minorHAnsi"/>
              </w:rPr>
            </w:pPr>
          </w:p>
        </w:tc>
        <w:tc>
          <w:tcPr>
            <w:tcW w:w="5171" w:type="dxa"/>
          </w:tcPr>
          <w:p w:rsidR="002F28BE" w:rsidRPr="00245E50" w:rsidRDefault="002F28BE" w:rsidP="008823B1">
            <w:pPr>
              <w:rPr>
                <w:rFonts w:cstheme="minorHAnsi"/>
              </w:rPr>
            </w:pPr>
          </w:p>
        </w:tc>
      </w:tr>
      <w:tr w:rsidR="00245E50" w:rsidRPr="00245E50" w:rsidTr="00773687">
        <w:tc>
          <w:tcPr>
            <w:tcW w:w="4605" w:type="dxa"/>
          </w:tcPr>
          <w:p w:rsidR="00245E50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>A summary of the careers programme, including details of how pupils, parents, teachers and employers may access information about the careers programme</w:t>
            </w:r>
            <w:r w:rsidR="002F28BE">
              <w:rPr>
                <w:rFonts w:cstheme="minorHAnsi"/>
              </w:rPr>
              <w:t>.</w:t>
            </w:r>
          </w:p>
          <w:p w:rsidR="002F28BE" w:rsidRDefault="002F28BE" w:rsidP="008823B1">
            <w:pPr>
              <w:rPr>
                <w:rFonts w:cstheme="minorHAnsi"/>
              </w:rPr>
            </w:pPr>
          </w:p>
          <w:p w:rsidR="002F28BE" w:rsidRDefault="002F28BE" w:rsidP="008823B1">
            <w:pPr>
              <w:rPr>
                <w:rFonts w:cstheme="minorHAnsi"/>
              </w:rPr>
            </w:pPr>
            <w:r>
              <w:rPr>
                <w:rFonts w:cstheme="minorHAnsi"/>
              </w:rPr>
              <w:t>It is good practice to p</w:t>
            </w:r>
            <w:r w:rsidRPr="00245E50">
              <w:rPr>
                <w:rFonts w:cstheme="minorHAnsi"/>
              </w:rPr>
              <w:t xml:space="preserve">repare a summary of the careers programme that gives a sense of what the school provides for each year group in line with the Gatsby Benchmarks. You don’t need to provide a huge amount of detail but set out the aims and objectives of your careers programme, a summary of activities and the partners that you work with to deliver them. Compass and Tracker can help you think about what information to include.  </w:t>
            </w:r>
          </w:p>
          <w:p w:rsidR="002F28BE" w:rsidRPr="00245E50" w:rsidRDefault="002F28BE" w:rsidP="008823B1">
            <w:pPr>
              <w:rPr>
                <w:rFonts w:cstheme="minorHAnsi"/>
              </w:rPr>
            </w:pPr>
          </w:p>
        </w:tc>
        <w:tc>
          <w:tcPr>
            <w:tcW w:w="5171" w:type="dxa"/>
          </w:tcPr>
          <w:p w:rsidR="00245E50" w:rsidRPr="00245E50" w:rsidRDefault="00245E50" w:rsidP="008823B1">
            <w:pPr>
              <w:rPr>
                <w:rFonts w:cstheme="minorHAnsi"/>
              </w:rPr>
            </w:pPr>
          </w:p>
        </w:tc>
      </w:tr>
      <w:tr w:rsidR="00245E50" w:rsidRPr="00245E50" w:rsidTr="00773687">
        <w:tc>
          <w:tcPr>
            <w:tcW w:w="4605" w:type="dxa"/>
          </w:tcPr>
          <w:p w:rsidR="00245E50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>How the school measures and assesses the impact of the careers programme on pupils</w:t>
            </w:r>
            <w:r w:rsidR="002F28BE">
              <w:rPr>
                <w:rFonts w:cstheme="minorHAnsi"/>
              </w:rPr>
              <w:t>.</w:t>
            </w:r>
          </w:p>
          <w:p w:rsidR="002F28BE" w:rsidRDefault="002F28BE" w:rsidP="008823B1">
            <w:pPr>
              <w:rPr>
                <w:rFonts w:cstheme="minorHAnsi"/>
              </w:rPr>
            </w:pPr>
          </w:p>
          <w:p w:rsidR="002F28BE" w:rsidRDefault="002F28BE" w:rsidP="008823B1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  <w:r w:rsidRPr="002F28BE">
              <w:rPr>
                <w:rFonts w:cstheme="minorHAnsi"/>
              </w:rPr>
              <w:t xml:space="preserve"> is good practice to</w:t>
            </w:r>
            <w:r>
              <w:rPr>
                <w:rFonts w:cstheme="minorHAnsi"/>
                <w:i/>
              </w:rPr>
              <w:t xml:space="preserve"> c</w:t>
            </w:r>
            <w:r w:rsidRPr="00245E50">
              <w:rPr>
                <w:rFonts w:cstheme="minorHAnsi"/>
              </w:rPr>
              <w:t>onsider using destination data and regular feedback from pupils, parents, teachers and employers to demonstrate how you measure the impact of your careers programme.</w:t>
            </w:r>
          </w:p>
          <w:p w:rsidR="002F28BE" w:rsidRPr="002F28BE" w:rsidRDefault="002F28BE" w:rsidP="008823B1">
            <w:pPr>
              <w:rPr>
                <w:rFonts w:cstheme="minorHAnsi"/>
                <w:i/>
              </w:rPr>
            </w:pPr>
          </w:p>
        </w:tc>
        <w:tc>
          <w:tcPr>
            <w:tcW w:w="5171" w:type="dxa"/>
          </w:tcPr>
          <w:p w:rsidR="00245E50" w:rsidRPr="00245E50" w:rsidRDefault="00245E50" w:rsidP="008823B1">
            <w:pPr>
              <w:rPr>
                <w:rFonts w:cstheme="minorHAnsi"/>
              </w:rPr>
            </w:pPr>
          </w:p>
        </w:tc>
      </w:tr>
      <w:tr w:rsidR="00245E50" w:rsidRPr="00245E50" w:rsidTr="00773687">
        <w:tc>
          <w:tcPr>
            <w:tcW w:w="4605" w:type="dxa"/>
          </w:tcPr>
          <w:p w:rsidR="00245E50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>The date of the school’s next review of the information published</w:t>
            </w:r>
            <w:r w:rsidR="002F28BE">
              <w:rPr>
                <w:rFonts w:cstheme="minorHAnsi"/>
              </w:rPr>
              <w:t>.</w:t>
            </w:r>
          </w:p>
          <w:p w:rsidR="002F28BE" w:rsidRDefault="002F28BE" w:rsidP="008823B1">
            <w:pPr>
              <w:rPr>
                <w:rFonts w:cstheme="minorHAnsi"/>
              </w:rPr>
            </w:pPr>
          </w:p>
          <w:p w:rsidR="002F28BE" w:rsidRDefault="002F28BE" w:rsidP="008823B1">
            <w:pPr>
              <w:rPr>
                <w:rFonts w:cstheme="minorHAnsi"/>
              </w:rPr>
            </w:pPr>
            <w:r>
              <w:rPr>
                <w:rFonts w:cstheme="minorHAnsi"/>
              </w:rPr>
              <w:t>It is good practice to r</w:t>
            </w:r>
            <w:r w:rsidRPr="00245E50">
              <w:rPr>
                <w:rFonts w:cstheme="minorHAnsi"/>
              </w:rPr>
              <w:t>eview the published information on an annual basis, inviting feedback from key audiences.</w:t>
            </w:r>
          </w:p>
          <w:p w:rsidR="002F28BE" w:rsidRDefault="002F28BE" w:rsidP="008823B1">
            <w:pPr>
              <w:rPr>
                <w:rFonts w:cstheme="minorHAnsi"/>
              </w:rPr>
            </w:pPr>
          </w:p>
          <w:p w:rsidR="002F28BE" w:rsidRDefault="002F28BE" w:rsidP="008823B1">
            <w:pPr>
              <w:rPr>
                <w:rFonts w:cstheme="minorHAnsi"/>
              </w:rPr>
            </w:pPr>
          </w:p>
          <w:p w:rsidR="002F28BE" w:rsidRPr="00245E50" w:rsidRDefault="002F28BE" w:rsidP="008823B1">
            <w:pPr>
              <w:rPr>
                <w:rFonts w:cstheme="minorHAnsi"/>
              </w:rPr>
            </w:pPr>
          </w:p>
        </w:tc>
        <w:tc>
          <w:tcPr>
            <w:tcW w:w="5171" w:type="dxa"/>
          </w:tcPr>
          <w:p w:rsidR="00245E50" w:rsidRPr="00245E50" w:rsidRDefault="00245E50" w:rsidP="008823B1">
            <w:pPr>
              <w:rPr>
                <w:rFonts w:cstheme="minorHAnsi"/>
              </w:rPr>
            </w:pPr>
          </w:p>
        </w:tc>
      </w:tr>
      <w:tr w:rsidR="00245E50" w:rsidRPr="00245E50" w:rsidTr="00773687">
        <w:trPr>
          <w:trHeight w:val="165"/>
        </w:trPr>
        <w:tc>
          <w:tcPr>
            <w:tcW w:w="4605" w:type="dxa"/>
          </w:tcPr>
          <w:p w:rsidR="00245E50" w:rsidRPr="002F28BE" w:rsidRDefault="002F28BE" w:rsidP="008823B1">
            <w:pPr>
              <w:rPr>
                <w:rFonts w:cstheme="minorHAnsi"/>
                <w:b/>
              </w:rPr>
            </w:pPr>
            <w:r w:rsidRPr="002F28BE">
              <w:rPr>
                <w:rFonts w:cstheme="minorHAnsi"/>
                <w:b/>
              </w:rPr>
              <w:t>GOOD PRACTICE</w:t>
            </w:r>
          </w:p>
        </w:tc>
        <w:tc>
          <w:tcPr>
            <w:tcW w:w="5171" w:type="dxa"/>
          </w:tcPr>
          <w:p w:rsidR="00245E50" w:rsidRPr="00245E50" w:rsidRDefault="00245E50" w:rsidP="008823B1">
            <w:pPr>
              <w:rPr>
                <w:rFonts w:cstheme="minorHAnsi"/>
              </w:rPr>
            </w:pPr>
          </w:p>
        </w:tc>
      </w:tr>
      <w:tr w:rsidR="002F28BE" w:rsidRPr="00245E50" w:rsidTr="00773687">
        <w:trPr>
          <w:trHeight w:val="1440"/>
        </w:trPr>
        <w:tc>
          <w:tcPr>
            <w:tcW w:w="4605" w:type="dxa"/>
          </w:tcPr>
          <w:p w:rsidR="002F28BE" w:rsidRDefault="002F28BE" w:rsidP="002F28BE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 xml:space="preserve">Present the careers programme as a distinct section of the website, or alongside other published policies. </w:t>
            </w:r>
          </w:p>
          <w:p w:rsidR="002F28BE" w:rsidRDefault="002F28BE" w:rsidP="002F28BE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 xml:space="preserve">Consider individual pages divided by the audience group they are aimed at: pupils, parents, teachers and employers. </w:t>
            </w:r>
          </w:p>
          <w:p w:rsidR="002F28BE" w:rsidRDefault="002F28BE" w:rsidP="002F28BE">
            <w:pPr>
              <w:rPr>
                <w:rFonts w:cstheme="minorHAnsi"/>
              </w:rPr>
            </w:pPr>
          </w:p>
        </w:tc>
        <w:tc>
          <w:tcPr>
            <w:tcW w:w="5171" w:type="dxa"/>
          </w:tcPr>
          <w:p w:rsidR="002F28BE" w:rsidRPr="00245E50" w:rsidRDefault="002F28BE" w:rsidP="008823B1">
            <w:pPr>
              <w:rPr>
                <w:rFonts w:cstheme="minorHAnsi"/>
              </w:rPr>
            </w:pPr>
          </w:p>
        </w:tc>
      </w:tr>
      <w:tr w:rsidR="00245E50" w:rsidRPr="00245E50" w:rsidTr="00773687">
        <w:tc>
          <w:tcPr>
            <w:tcW w:w="4605" w:type="dxa"/>
          </w:tcPr>
          <w:p w:rsidR="002F28BE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 xml:space="preserve">Incorporate the policy statement on provider access that every school must publish under section 42B of the Education Act 1997 </w:t>
            </w:r>
          </w:p>
          <w:p w:rsidR="00245E50" w:rsidRPr="00245E50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 xml:space="preserve"> </w:t>
            </w:r>
          </w:p>
        </w:tc>
        <w:tc>
          <w:tcPr>
            <w:tcW w:w="5171" w:type="dxa"/>
          </w:tcPr>
          <w:p w:rsidR="00245E50" w:rsidRPr="00245E50" w:rsidRDefault="00245E50" w:rsidP="008823B1">
            <w:pPr>
              <w:rPr>
                <w:rFonts w:cstheme="minorHAnsi"/>
              </w:rPr>
            </w:pPr>
          </w:p>
        </w:tc>
      </w:tr>
      <w:tr w:rsidR="00245E50" w:rsidRPr="00245E50" w:rsidTr="00773687">
        <w:tc>
          <w:tcPr>
            <w:tcW w:w="4605" w:type="dxa"/>
          </w:tcPr>
          <w:p w:rsidR="002F28BE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 xml:space="preserve">Communicate clearly what the school is doing in language that is accessible to the different audiences who will read your website. </w:t>
            </w:r>
          </w:p>
          <w:p w:rsidR="002F28BE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 xml:space="preserve">For example, you may wish to consider a published charter or entitlement that makes it clear what every young person can expect from the school’s careers programme. </w:t>
            </w:r>
          </w:p>
          <w:p w:rsidR="00245E50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 xml:space="preserve">You could also include information directed at parents, employers and other interested groups which explains how they can support the careers programme. </w:t>
            </w:r>
          </w:p>
          <w:p w:rsidR="002F28BE" w:rsidRPr="00245E50" w:rsidRDefault="002F28BE" w:rsidP="008823B1">
            <w:pPr>
              <w:rPr>
                <w:rFonts w:cstheme="minorHAnsi"/>
              </w:rPr>
            </w:pPr>
          </w:p>
        </w:tc>
        <w:tc>
          <w:tcPr>
            <w:tcW w:w="5171" w:type="dxa"/>
          </w:tcPr>
          <w:p w:rsidR="00245E50" w:rsidRPr="00245E50" w:rsidRDefault="00245E50" w:rsidP="00245E50">
            <w:pPr>
              <w:rPr>
                <w:rFonts w:cstheme="minorHAnsi"/>
              </w:rPr>
            </w:pPr>
          </w:p>
        </w:tc>
      </w:tr>
      <w:tr w:rsidR="00245E50" w:rsidRPr="00245E50" w:rsidTr="00773687">
        <w:tc>
          <w:tcPr>
            <w:tcW w:w="4605" w:type="dxa"/>
          </w:tcPr>
          <w:p w:rsidR="00245E50" w:rsidRDefault="00245E50" w:rsidP="008823B1">
            <w:pPr>
              <w:rPr>
                <w:rFonts w:cstheme="minorHAnsi"/>
              </w:rPr>
            </w:pPr>
            <w:r w:rsidRPr="00245E50">
              <w:rPr>
                <w:rFonts w:cstheme="minorHAnsi"/>
              </w:rPr>
              <w:t>Include links to other helpful careers resources, websites and events.</w:t>
            </w:r>
          </w:p>
          <w:p w:rsidR="002F28BE" w:rsidRDefault="002F28BE" w:rsidP="008823B1">
            <w:pPr>
              <w:rPr>
                <w:rFonts w:cstheme="minorHAnsi"/>
              </w:rPr>
            </w:pPr>
          </w:p>
          <w:p w:rsidR="002F28BE" w:rsidRDefault="002F28BE" w:rsidP="008823B1">
            <w:pPr>
              <w:rPr>
                <w:rFonts w:cstheme="minorHAnsi"/>
              </w:rPr>
            </w:pPr>
          </w:p>
          <w:p w:rsidR="002F28BE" w:rsidRDefault="002F28BE" w:rsidP="008823B1">
            <w:pPr>
              <w:rPr>
                <w:rFonts w:cstheme="minorHAnsi"/>
              </w:rPr>
            </w:pPr>
          </w:p>
          <w:p w:rsidR="002F28BE" w:rsidRPr="00245E50" w:rsidRDefault="002F28BE" w:rsidP="008823B1">
            <w:pPr>
              <w:rPr>
                <w:rFonts w:cstheme="minorHAnsi"/>
              </w:rPr>
            </w:pPr>
          </w:p>
        </w:tc>
        <w:tc>
          <w:tcPr>
            <w:tcW w:w="5171" w:type="dxa"/>
          </w:tcPr>
          <w:p w:rsidR="00245E50" w:rsidRPr="00245E50" w:rsidRDefault="00245E50" w:rsidP="00245E50">
            <w:pPr>
              <w:rPr>
                <w:rFonts w:cstheme="minorHAnsi"/>
              </w:rPr>
            </w:pPr>
          </w:p>
        </w:tc>
      </w:tr>
    </w:tbl>
    <w:p w:rsidR="003429F5" w:rsidRPr="003429F5" w:rsidRDefault="003429F5" w:rsidP="00245E50">
      <w:pPr>
        <w:spacing w:after="0" w:line="240" w:lineRule="auto"/>
        <w:rPr>
          <w:rFonts w:cstheme="minorHAnsi"/>
        </w:rPr>
      </w:pPr>
    </w:p>
    <w:sectPr w:rsidR="003429F5" w:rsidRPr="003429F5" w:rsidSect="00773687">
      <w:headerReference w:type="default" r:id="rId7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7FB" w:rsidRDefault="002217FB" w:rsidP="00773687">
      <w:pPr>
        <w:spacing w:after="0" w:line="240" w:lineRule="auto"/>
      </w:pPr>
      <w:r>
        <w:separator/>
      </w:r>
    </w:p>
  </w:endnote>
  <w:endnote w:type="continuationSeparator" w:id="0">
    <w:p w:rsidR="002217FB" w:rsidRDefault="002217FB" w:rsidP="0077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7FB" w:rsidRDefault="002217FB" w:rsidP="00773687">
      <w:pPr>
        <w:spacing w:after="0" w:line="240" w:lineRule="auto"/>
      </w:pPr>
      <w:r>
        <w:separator/>
      </w:r>
    </w:p>
  </w:footnote>
  <w:footnote w:type="continuationSeparator" w:id="0">
    <w:p w:rsidR="002217FB" w:rsidRDefault="002217FB" w:rsidP="0077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687" w:rsidRDefault="00773687" w:rsidP="00773687">
    <w:pPr>
      <w:pStyle w:val="Header"/>
    </w:pPr>
    <w:r>
      <w:rPr>
        <w:noProof/>
      </w:rPr>
      <w:drawing>
        <wp:inline distT="0" distB="0" distL="0" distR="0" wp14:anchorId="4F111CE5" wp14:editId="5E8E5814">
          <wp:extent cx="904875" cy="361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173" cy="36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>
          <wp:extent cx="657225" cy="6572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R Hub 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>
          <wp:extent cx="1990722" cy="372595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P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533" cy="38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168"/>
    <w:multiLevelType w:val="hybridMultilevel"/>
    <w:tmpl w:val="B838A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D4055"/>
    <w:multiLevelType w:val="multilevel"/>
    <w:tmpl w:val="82E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21116"/>
    <w:multiLevelType w:val="hybridMultilevel"/>
    <w:tmpl w:val="4F62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5EEA"/>
    <w:multiLevelType w:val="hybridMultilevel"/>
    <w:tmpl w:val="8BCEF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51551"/>
    <w:multiLevelType w:val="hybridMultilevel"/>
    <w:tmpl w:val="D262A36E"/>
    <w:lvl w:ilvl="0" w:tplc="1F1E0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63A7"/>
    <w:multiLevelType w:val="hybridMultilevel"/>
    <w:tmpl w:val="73FC1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A1E99"/>
    <w:multiLevelType w:val="hybridMultilevel"/>
    <w:tmpl w:val="FEA493C4"/>
    <w:lvl w:ilvl="0" w:tplc="1F1E0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32"/>
    <w:rsid w:val="000119C3"/>
    <w:rsid w:val="00183E32"/>
    <w:rsid w:val="002217FB"/>
    <w:rsid w:val="00245E50"/>
    <w:rsid w:val="002C022A"/>
    <w:rsid w:val="002F28BE"/>
    <w:rsid w:val="003054D8"/>
    <w:rsid w:val="003429F5"/>
    <w:rsid w:val="003E5632"/>
    <w:rsid w:val="004E365B"/>
    <w:rsid w:val="005560FC"/>
    <w:rsid w:val="0060026D"/>
    <w:rsid w:val="00773687"/>
    <w:rsid w:val="007E55A9"/>
    <w:rsid w:val="008F4C30"/>
    <w:rsid w:val="00A963E6"/>
    <w:rsid w:val="00B24198"/>
    <w:rsid w:val="00B64676"/>
    <w:rsid w:val="00BD15A7"/>
    <w:rsid w:val="00CF13D7"/>
    <w:rsid w:val="00D07538"/>
    <w:rsid w:val="00DD68D7"/>
    <w:rsid w:val="00E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03436-5755-4F93-9D63-58210D4A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6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56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4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02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02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87"/>
  </w:style>
  <w:style w:type="paragraph" w:styleId="Footer">
    <w:name w:val="footer"/>
    <w:basedOn w:val="Normal"/>
    <w:link w:val="FooterChar"/>
    <w:uiPriority w:val="99"/>
    <w:unhideWhenUsed/>
    <w:rsid w:val="00773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87"/>
  </w:style>
  <w:style w:type="paragraph" w:styleId="BalloonText">
    <w:name w:val="Balloon Text"/>
    <w:basedOn w:val="Normal"/>
    <w:link w:val="BalloonTextChar"/>
    <w:uiPriority w:val="99"/>
    <w:semiHidden/>
    <w:unhideWhenUsed/>
    <w:rsid w:val="00A9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Beevers</dc:creator>
  <cp:keywords/>
  <dc:description/>
  <cp:lastModifiedBy>Kelly Dillon</cp:lastModifiedBy>
  <cp:revision>2</cp:revision>
  <dcterms:created xsi:type="dcterms:W3CDTF">2019-10-22T13:09:00Z</dcterms:created>
  <dcterms:modified xsi:type="dcterms:W3CDTF">2019-10-22T13:09:00Z</dcterms:modified>
</cp:coreProperties>
</file>